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81A20" w14:textId="77777777" w:rsidR="00A14DD2" w:rsidRPr="00A14DD2" w:rsidRDefault="00A14DD2" w:rsidP="006746BF">
      <w:pPr>
        <w:pStyle w:val="Heading2"/>
        <w:numPr>
          <w:ilvl w:val="0"/>
          <w:numId w:val="0"/>
        </w:numPr>
        <w:pBdr>
          <w:bottom w:val="single" w:sz="2" w:space="1" w:color="4472C4" w:themeColor="accent1"/>
        </w:pBdr>
        <w:tabs>
          <w:tab w:val="left" w:pos="142"/>
        </w:tabs>
        <w:ind w:left="1276" w:hanging="709"/>
        <w:rPr>
          <w:b/>
          <w:bCs w:val="0"/>
          <w:color w:val="4472C4" w:themeColor="accent1"/>
        </w:rPr>
      </w:pPr>
      <w:bookmarkStart w:id="0" w:name="_Toc123562171"/>
      <w:r w:rsidRPr="00A14DD2">
        <w:rPr>
          <w:b/>
          <w:bCs w:val="0"/>
          <w:color w:val="4472C4" w:themeColor="accent1"/>
        </w:rPr>
        <w:t>Environmental, Social and Governance Policy</w:t>
      </w:r>
      <w:bookmarkEnd w:id="0"/>
    </w:p>
    <w:p w14:paraId="53AF2C25" w14:textId="204F8DA1" w:rsidR="00A14DD2" w:rsidRPr="006B0B75" w:rsidRDefault="006746BF" w:rsidP="006746BF">
      <w:pPr>
        <w:tabs>
          <w:tab w:val="left" w:pos="142"/>
        </w:tabs>
        <w:rPr>
          <w:lang w:eastAsia="en-AU"/>
        </w:rPr>
      </w:pPr>
      <w:r>
        <w:rPr>
          <w:rStyle w:val="Heading4Char"/>
        </w:rPr>
        <w:br/>
      </w:r>
      <w:r w:rsidR="00A14DD2" w:rsidRPr="004F7564">
        <w:rPr>
          <w:rStyle w:val="Heading4Char"/>
        </w:rPr>
        <w:t>Policy Name:</w:t>
      </w:r>
      <w:r w:rsidR="00A14DD2" w:rsidRPr="004F58F9">
        <w:rPr>
          <w:color w:val="2F5496" w:themeColor="accent1" w:themeShade="BF"/>
          <w:lang w:eastAsia="en-AU"/>
        </w:rPr>
        <w:t xml:space="preserve"> </w:t>
      </w:r>
      <w:r w:rsidR="00A14DD2" w:rsidRPr="002F2630">
        <w:rPr>
          <w:lang w:eastAsia="en-AU"/>
        </w:rPr>
        <w:t xml:space="preserve">Environmental, Social and Governance (ESG) </w:t>
      </w:r>
      <w:r w:rsidR="00A14DD2">
        <w:rPr>
          <w:lang w:eastAsia="en-AU"/>
        </w:rPr>
        <w:t>Policy</w:t>
      </w:r>
    </w:p>
    <w:p w14:paraId="023D5E36" w14:textId="77777777" w:rsidR="00A14DD2" w:rsidRPr="006B0B75" w:rsidRDefault="00A14DD2" w:rsidP="006746BF">
      <w:pPr>
        <w:pStyle w:val="Heading4"/>
        <w:tabs>
          <w:tab w:val="left" w:pos="142"/>
        </w:tabs>
      </w:pPr>
      <w:r>
        <w:t>Policy Description:</w:t>
      </w:r>
    </w:p>
    <w:p w14:paraId="0753FE22" w14:textId="77777777" w:rsidR="00A14DD2" w:rsidRPr="00F21A03" w:rsidRDefault="00A14DD2" w:rsidP="006746BF">
      <w:pPr>
        <w:tabs>
          <w:tab w:val="left" w:pos="142"/>
        </w:tabs>
      </w:pPr>
      <w:r>
        <w:t>ORGANISATION NAME</w:t>
      </w:r>
      <w:r w:rsidRPr="003E2247">
        <w:t xml:space="preserve"> recognises the need to work in a manner that promotes sustainable, ethical and socially responsible operations.  This is also required for a complete understanding of our ESG impact when considering both risk and opportunity.</w:t>
      </w:r>
      <w:r w:rsidRPr="00F21A03">
        <w:t xml:space="preserve">  </w:t>
      </w:r>
    </w:p>
    <w:p w14:paraId="3C4920E4" w14:textId="77777777" w:rsidR="00A14DD2" w:rsidRPr="004F58F9" w:rsidRDefault="00A14DD2" w:rsidP="006746BF">
      <w:pPr>
        <w:pStyle w:val="Heading4"/>
        <w:tabs>
          <w:tab w:val="left" w:pos="142"/>
        </w:tabs>
      </w:pPr>
      <w:r w:rsidRPr="004F58F9">
        <w:t xml:space="preserve">Applies to: </w:t>
      </w:r>
    </w:p>
    <w:p w14:paraId="5C7FA0AF" w14:textId="77777777" w:rsidR="00A14DD2" w:rsidRPr="002E5CF1" w:rsidRDefault="00A14DD2" w:rsidP="006746BF">
      <w:pPr>
        <w:tabs>
          <w:tab w:val="left" w:pos="142"/>
        </w:tabs>
      </w:pPr>
      <w:r w:rsidRPr="002E5CF1">
        <w:t xml:space="preserve">This policy is applicable to all </w:t>
      </w:r>
      <w:r>
        <w:t>ORGANISATION NAME</w:t>
      </w:r>
      <w:r w:rsidRPr="002E5CF1">
        <w:t xml:space="preserve"> employees</w:t>
      </w:r>
      <w:r>
        <w:t xml:space="preserve"> and Board Directors</w:t>
      </w:r>
      <w:r w:rsidRPr="002E5CF1">
        <w:t xml:space="preserve"> in all its operations and functions including those situations where </w:t>
      </w:r>
      <w:r>
        <w:t>they</w:t>
      </w:r>
      <w:r w:rsidRPr="002E5CF1">
        <w:t xml:space="preserve"> are required to work off site.  It is also applicable to all potential employees.</w:t>
      </w:r>
    </w:p>
    <w:p w14:paraId="274450A3" w14:textId="77777777" w:rsidR="00A14DD2" w:rsidRPr="004F58F9" w:rsidRDefault="00A14DD2" w:rsidP="006746BF">
      <w:pPr>
        <w:pStyle w:val="Heading4"/>
        <w:tabs>
          <w:tab w:val="left" w:pos="142"/>
        </w:tabs>
      </w:pPr>
      <w:r>
        <w:t>Definitions</w:t>
      </w:r>
    </w:p>
    <w:tbl>
      <w:tblPr>
        <w:tblStyle w:val="TableGrid1"/>
        <w:tblW w:w="8505" w:type="dxa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5953"/>
      </w:tblGrid>
      <w:tr w:rsidR="00A14DD2" w:rsidRPr="00A93128" w14:paraId="414D3BC0" w14:textId="77777777" w:rsidTr="00F812AC"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2D648BF" w14:textId="77777777" w:rsidR="00A14DD2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1472E8">
              <w:t>ABBREVIATED ORGANISATION NAME</w:t>
            </w:r>
          </w:p>
        </w:tc>
        <w:tc>
          <w:tcPr>
            <w:tcW w:w="59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1B17E75" w14:textId="77777777" w:rsidR="00A14DD2" w:rsidRPr="004F7564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1472E8">
              <w:t>ORGANISATION NAME</w:t>
            </w:r>
          </w:p>
        </w:tc>
      </w:tr>
      <w:tr w:rsidR="00A14DD2" w:rsidRPr="00A93128" w14:paraId="47A85029" w14:textId="77777777" w:rsidTr="00F812AC"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FA1F39" w14:textId="77777777" w:rsidR="00A14DD2" w:rsidRPr="00A93128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ESG</w:t>
            </w:r>
          </w:p>
        </w:tc>
        <w:tc>
          <w:tcPr>
            <w:tcW w:w="59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8CABD0" w14:textId="77777777" w:rsidR="00A14DD2" w:rsidRPr="004F7564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4F7564">
              <w:t>Environmental, Social and Governance (goals or obligations)</w:t>
            </w:r>
            <w:r>
              <w:t>.</w:t>
            </w:r>
          </w:p>
        </w:tc>
      </w:tr>
      <w:tr w:rsidR="00A14DD2" w:rsidRPr="002F2630" w14:paraId="6228C9EB" w14:textId="77777777" w:rsidTr="00F812AC"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1F1809A4" w14:textId="77777777" w:rsidR="00A14DD2" w:rsidRPr="00A93128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Environmental</w:t>
            </w:r>
          </w:p>
        </w:tc>
        <w:tc>
          <w:tcPr>
            <w:tcW w:w="59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8369CC3" w14:textId="77777777" w:rsidR="00A14DD2" w:rsidRPr="00A93128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2F2630">
              <w:t>Unsustainable or controversial environmental policies may lead to financial penalties, compromised reputation, competitive disadvantage, and negative implications for growth</w:t>
            </w:r>
            <w:r>
              <w:t>.</w:t>
            </w:r>
          </w:p>
        </w:tc>
      </w:tr>
      <w:tr w:rsidR="00A14DD2" w:rsidRPr="002F2630" w14:paraId="44584D4E" w14:textId="77777777" w:rsidTr="00F812AC"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1D7178F" w14:textId="77777777" w:rsidR="00A14DD2" w:rsidRPr="00A93128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Social</w:t>
            </w:r>
          </w:p>
        </w:tc>
        <w:tc>
          <w:tcPr>
            <w:tcW w:w="59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3AFA4F6" w14:textId="77777777" w:rsidR="00A14DD2" w:rsidRPr="00A93128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2F2630">
              <w:t xml:space="preserve">Poor </w:t>
            </w:r>
            <w:r>
              <w:t xml:space="preserve">staffing and </w:t>
            </w:r>
            <w:r w:rsidRPr="002F2630">
              <w:t>labo</w:t>
            </w:r>
            <w:r>
              <w:t>u</w:t>
            </w:r>
            <w:r w:rsidRPr="002F2630">
              <w:t>r practices or human rights violations may put companies or countries at risk of unrest or upheaval, impairing economic progress</w:t>
            </w:r>
            <w:r>
              <w:t>.</w:t>
            </w:r>
          </w:p>
        </w:tc>
      </w:tr>
      <w:tr w:rsidR="00A14DD2" w:rsidRPr="002F2630" w14:paraId="7BAFE14F" w14:textId="77777777" w:rsidTr="00F812AC">
        <w:tc>
          <w:tcPr>
            <w:tcW w:w="255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A9A7E4F" w14:textId="77777777" w:rsidR="00A14DD2" w:rsidRPr="00A93128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Governance</w:t>
            </w:r>
          </w:p>
        </w:tc>
        <w:tc>
          <w:tcPr>
            <w:tcW w:w="595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3EC4F6C" w14:textId="77777777" w:rsidR="00A14DD2" w:rsidRPr="00A93128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2F2630">
              <w:t xml:space="preserve">Insufficient governance may promote an environment that ignores investor rights and interests while enabling fraud or corruption, limiting </w:t>
            </w:r>
            <w:r>
              <w:t xml:space="preserve">our social impact and / or </w:t>
            </w:r>
            <w:r w:rsidRPr="002F2630">
              <w:t>investment returns</w:t>
            </w:r>
            <w:r>
              <w:t>.  It can lead to exacerbation of key</w:t>
            </w:r>
            <w:r w:rsidRPr="002F2630">
              <w:t xml:space="preserve"> </w:t>
            </w:r>
            <w:r>
              <w:t xml:space="preserve">business </w:t>
            </w:r>
            <w:r w:rsidRPr="002F2630">
              <w:t>risks</w:t>
            </w:r>
            <w:r>
              <w:t>.</w:t>
            </w:r>
          </w:p>
        </w:tc>
      </w:tr>
    </w:tbl>
    <w:p w14:paraId="6FE107A3" w14:textId="70CBC5C4" w:rsidR="00A14DD2" w:rsidRPr="004F58F9" w:rsidRDefault="00F812AC" w:rsidP="006746BF">
      <w:pPr>
        <w:pStyle w:val="Heading4"/>
        <w:tabs>
          <w:tab w:val="left" w:pos="142"/>
        </w:tabs>
      </w:pPr>
      <w:r>
        <w:br/>
      </w:r>
      <w:r w:rsidR="00A14DD2">
        <w:t>Relevant policy statements and/or principles</w:t>
      </w:r>
    </w:p>
    <w:p w14:paraId="26EEFB0B" w14:textId="77777777" w:rsidR="00A14DD2" w:rsidRDefault="00A14DD2" w:rsidP="006746BF">
      <w:pPr>
        <w:tabs>
          <w:tab w:val="left" w:pos="142"/>
        </w:tabs>
      </w:pPr>
      <w:r w:rsidRPr="00396632">
        <w:t xml:space="preserve">It is the responsibility of </w:t>
      </w:r>
      <w:r>
        <w:rPr>
          <w:rFonts w:cs="Arial"/>
        </w:rPr>
        <w:t>ORGANISATION NAME</w:t>
      </w:r>
      <w:r w:rsidDel="00570F4A">
        <w:t xml:space="preserve"> </w:t>
      </w:r>
      <w:r w:rsidRPr="00396632">
        <w:t xml:space="preserve">to </w:t>
      </w:r>
      <w:r>
        <w:t>ensure that it operates in a manner that is environmentally sustainable, socially responsible, and well governed.</w:t>
      </w:r>
    </w:p>
    <w:p w14:paraId="4F13EE7D" w14:textId="77777777" w:rsidR="00F812AC" w:rsidRDefault="00F812AC" w:rsidP="006746BF">
      <w:pPr>
        <w:tabs>
          <w:tab w:val="left" w:pos="142"/>
        </w:tabs>
      </w:pPr>
    </w:p>
    <w:p w14:paraId="39218E2B" w14:textId="77777777" w:rsidR="00A14DD2" w:rsidRPr="004F7564" w:rsidRDefault="00A14DD2" w:rsidP="006746BF">
      <w:pPr>
        <w:tabs>
          <w:tab w:val="left" w:pos="142"/>
        </w:tabs>
        <w:rPr>
          <w:b/>
          <w:bCs/>
          <w:lang w:eastAsia="en-AU"/>
        </w:rPr>
      </w:pPr>
      <w:r w:rsidRPr="004F7564">
        <w:rPr>
          <w:b/>
          <w:bCs/>
          <w:lang w:eastAsia="en-AU"/>
        </w:rPr>
        <w:lastRenderedPageBreak/>
        <w:t>Environmental Sustainability Goals</w:t>
      </w:r>
    </w:p>
    <w:p w14:paraId="5757D1CD" w14:textId="77777777" w:rsidR="00A14DD2" w:rsidRDefault="00A14DD2" w:rsidP="006746BF">
      <w:pPr>
        <w:tabs>
          <w:tab w:val="left" w:pos="142"/>
        </w:tabs>
      </w:pPr>
      <w:r>
        <w:rPr>
          <w:rFonts w:cs="Arial"/>
        </w:rPr>
        <w:t>ORGANISATION NAME</w:t>
      </w:r>
      <w:r>
        <w:t xml:space="preserve"> will assess and monitor the</w:t>
      </w:r>
      <w:r w:rsidRPr="00F2016E">
        <w:t xml:space="preserve"> impact </w:t>
      </w:r>
      <w:r>
        <w:t xml:space="preserve">of the organisation </w:t>
      </w:r>
      <w:r w:rsidRPr="00F2016E">
        <w:t xml:space="preserve">on the environment and </w:t>
      </w:r>
      <w:r>
        <w:t>measure the success of</w:t>
      </w:r>
      <w:r w:rsidRPr="00227438">
        <w:t xml:space="preserve"> </w:t>
      </w:r>
      <w:r>
        <w:t xml:space="preserve">elimination or minimisation mitigation methods employed including: </w:t>
      </w:r>
    </w:p>
    <w:p w14:paraId="5F187891" w14:textId="77777777" w:rsidR="00A14DD2" w:rsidRPr="00CB20CB" w:rsidRDefault="00A14DD2" w:rsidP="006746BF">
      <w:pPr>
        <w:pStyle w:val="ListParagraph"/>
        <w:numPr>
          <w:ilvl w:val="0"/>
          <w:numId w:val="4"/>
        </w:numPr>
        <w:tabs>
          <w:tab w:val="left" w:pos="142"/>
        </w:tabs>
      </w:pPr>
      <w:r w:rsidRPr="00CB20CB">
        <w:t>carbon footprint of our organisation</w:t>
      </w:r>
    </w:p>
    <w:p w14:paraId="48D63D60" w14:textId="77777777" w:rsidR="00A14DD2" w:rsidRPr="00CB20CB" w:rsidRDefault="00A14DD2" w:rsidP="006746BF">
      <w:pPr>
        <w:pStyle w:val="ListParagraph"/>
        <w:numPr>
          <w:ilvl w:val="0"/>
          <w:numId w:val="4"/>
        </w:numPr>
        <w:tabs>
          <w:tab w:val="left" w:pos="142"/>
        </w:tabs>
      </w:pPr>
      <w:r w:rsidRPr="00CB20CB">
        <w:t>energy efficiency</w:t>
      </w:r>
    </w:p>
    <w:p w14:paraId="5DFD5886" w14:textId="77777777" w:rsidR="00A14DD2" w:rsidRPr="00CB20CB" w:rsidRDefault="00A14DD2" w:rsidP="006746BF">
      <w:pPr>
        <w:pStyle w:val="ListParagraph"/>
        <w:numPr>
          <w:ilvl w:val="0"/>
          <w:numId w:val="4"/>
        </w:numPr>
        <w:tabs>
          <w:tab w:val="left" w:pos="142"/>
        </w:tabs>
      </w:pPr>
      <w:r w:rsidRPr="00CB20CB">
        <w:t>waste management</w:t>
      </w:r>
    </w:p>
    <w:p w14:paraId="5B3A05EA" w14:textId="77777777" w:rsidR="00A14DD2" w:rsidRPr="00CB20CB" w:rsidRDefault="00A14DD2" w:rsidP="006746BF">
      <w:pPr>
        <w:pStyle w:val="ListParagraph"/>
        <w:numPr>
          <w:ilvl w:val="0"/>
          <w:numId w:val="4"/>
        </w:numPr>
        <w:tabs>
          <w:tab w:val="left" w:pos="142"/>
        </w:tabs>
      </w:pPr>
      <w:r w:rsidRPr="00CB20CB">
        <w:t xml:space="preserve">conservation of water and other natural resources, and </w:t>
      </w:r>
    </w:p>
    <w:p w14:paraId="5C01B7CD" w14:textId="77777777" w:rsidR="00A14DD2" w:rsidRPr="00322F92" w:rsidRDefault="00A14DD2" w:rsidP="006746BF">
      <w:pPr>
        <w:pStyle w:val="ListParagraph"/>
        <w:numPr>
          <w:ilvl w:val="0"/>
          <w:numId w:val="4"/>
        </w:numPr>
        <w:tabs>
          <w:tab w:val="left" w:pos="142"/>
        </w:tabs>
      </w:pPr>
      <w:r w:rsidRPr="00CB20CB">
        <w:t>treatment of animals.</w:t>
      </w:r>
    </w:p>
    <w:p w14:paraId="48F50C7D" w14:textId="28F8E0D3" w:rsidR="00A14DD2" w:rsidRDefault="00A14DD2" w:rsidP="006746BF">
      <w:pPr>
        <w:tabs>
          <w:tab w:val="left" w:pos="142"/>
        </w:tabs>
      </w:pPr>
      <w:r>
        <w:rPr>
          <w:rFonts w:cs="Arial"/>
        </w:rPr>
        <w:t>ORGANISATION NAME</w:t>
      </w:r>
      <w:r>
        <w:t xml:space="preserve"> is committed to minimising its adverse environmental impact.  Accordingly, it has embraced the following 17 Sustainable Development Goals of the Unit</w:t>
      </w:r>
      <w:r w:rsidR="00CA45AA">
        <w:t>ed</w:t>
      </w:r>
      <w:r>
        <w:t xml:space="preserve"> Nations.  </w:t>
      </w:r>
    </w:p>
    <w:p w14:paraId="7BECE927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>No Poverty</w:t>
      </w:r>
      <w:r w:rsidRPr="009C0DCC">
        <w:t xml:space="preserve"> – Donate what you do not use.  More than 700 million people still live in extreme poverty.</w:t>
      </w:r>
    </w:p>
    <w:p w14:paraId="4AB983E4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>Zero Hunger</w:t>
      </w:r>
      <w:r w:rsidRPr="009C0DCC">
        <w:t xml:space="preserve"> – waste less food and support local farmers. A third of the world’s food is wasted, yet 821 million people are undernourished.</w:t>
      </w:r>
    </w:p>
    <w:p w14:paraId="4A058C15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>Good Health and Well-being</w:t>
      </w:r>
      <w:r w:rsidRPr="009C0DCC">
        <w:t xml:space="preserve"> – vaccinate your family. Vaccinations resulted in an 80% drop in measles deaths between 2000 and 2017.</w:t>
      </w:r>
    </w:p>
    <w:p w14:paraId="51DBDBB1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Quality Education </w:t>
      </w:r>
      <w:r w:rsidRPr="009C0DCC">
        <w:t xml:space="preserve">- help educate the children in your </w:t>
      </w:r>
      <w:proofErr w:type="gramStart"/>
      <w:r w:rsidRPr="009C0DCC">
        <w:t>Community</w:t>
      </w:r>
      <w:proofErr w:type="gramEnd"/>
      <w:r w:rsidRPr="009C0DCC">
        <w:t>. 617 million children and adolescents lack minimum proficiency in reading and mathematics.</w:t>
      </w:r>
    </w:p>
    <w:p w14:paraId="7A87FBE0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Gender Equality </w:t>
      </w:r>
      <w:r w:rsidRPr="009C0DCC">
        <w:t>– Empower women and girls and ensure their equal rights.  1 in 3 women has experienced physical and/or sexual violence.</w:t>
      </w:r>
    </w:p>
    <w:p w14:paraId="4DD6B3C4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Clean Water and Sanitation </w:t>
      </w:r>
      <w:r w:rsidRPr="009C0DCC">
        <w:t>– Avoid wasting water.  Water scarcity affects more than 40% of the world’s population.</w:t>
      </w:r>
    </w:p>
    <w:p w14:paraId="40BB358D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Affordable and Clean Energy </w:t>
      </w:r>
      <w:r w:rsidRPr="009C0DCC">
        <w:t>– use only energy-efficient appliances and light bulbs.  Three billion people still lack clean cooking fuels and technologies.</w:t>
      </w:r>
    </w:p>
    <w:p w14:paraId="690249C5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Decent Work and Economic Growth </w:t>
      </w:r>
      <w:r w:rsidRPr="009C0DCC">
        <w:t>– create opportunities for youth.  One fifth of young people are not in education, employment, or training.</w:t>
      </w:r>
    </w:p>
    <w:p w14:paraId="17D50BD2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Industry, Innovation, and Infrastructure </w:t>
      </w:r>
      <w:r w:rsidRPr="009C0DCC">
        <w:t>– fund projects that provide basic infrastructure. Roads, water, sanitation, and electricity remain scarce in many developing countries.</w:t>
      </w:r>
    </w:p>
    <w:p w14:paraId="6333376D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>Reduced inequalities</w:t>
      </w:r>
      <w:r w:rsidRPr="009C0DCC">
        <w:t xml:space="preserve"> - support the marginalised and disadvantaged. The poorest 40% of the population earn less than 25% of global income.</w:t>
      </w:r>
    </w:p>
    <w:p w14:paraId="3EE23D05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Sustainable Cities and Communities </w:t>
      </w:r>
      <w:r w:rsidRPr="009C0DCC">
        <w:t>– bike, walk or use public transportation. 9 out of 10 urban residents breathe polluted air.</w:t>
      </w:r>
    </w:p>
    <w:p w14:paraId="084BBC4A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Responsible Consumption and Production </w:t>
      </w:r>
      <w:r w:rsidRPr="009C0DCC">
        <w:t>– recycle paper, plastic, glass and aluminium.  By 2050, the equivalent of almost three planets could be required to sustain current lifestyles.</w:t>
      </w:r>
    </w:p>
    <w:p w14:paraId="5C8323B2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Climate Action </w:t>
      </w:r>
      <w:r w:rsidRPr="009C0DCC">
        <w:t>-Act now to stop global warming. Global emissions of carbon dioxide (CO2) have increased by almost 50% since 1990.</w:t>
      </w:r>
    </w:p>
    <w:p w14:paraId="2DFD4213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Life below water </w:t>
      </w:r>
      <w:r w:rsidRPr="009C0DCC">
        <w:t>– Avoid plastic bags to keep the oceans clean.  Over 3 billion people depend on marine and coastal biodiversity for their livelihoods.</w:t>
      </w:r>
    </w:p>
    <w:p w14:paraId="67DCA7A5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Life on Land </w:t>
      </w:r>
      <w:r w:rsidRPr="009C0DCC">
        <w:t>– plant a tree and help protect the environment.  Forests are home to more than 80% of all terrestrial species of animals, plants and insects.</w:t>
      </w:r>
    </w:p>
    <w:p w14:paraId="17184F7E" w14:textId="77777777" w:rsidR="00A14DD2" w:rsidRPr="009C0DCC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lastRenderedPageBreak/>
        <w:t xml:space="preserve">Peace, justice and strong institutions </w:t>
      </w:r>
      <w:r w:rsidRPr="009C0DCC">
        <w:t>-stand up for human rights.  In 2018, the number of people fleeing war, persecution and conflict exceeded 70 million.</w:t>
      </w:r>
    </w:p>
    <w:p w14:paraId="1AAE537E" w14:textId="77777777" w:rsidR="00A14DD2" w:rsidRDefault="00A14DD2" w:rsidP="006746BF">
      <w:pPr>
        <w:pStyle w:val="ListParagraph"/>
        <w:numPr>
          <w:ilvl w:val="0"/>
          <w:numId w:val="2"/>
        </w:numPr>
        <w:tabs>
          <w:tab w:val="left" w:pos="142"/>
        </w:tabs>
      </w:pPr>
      <w:r w:rsidRPr="009C0DCC">
        <w:rPr>
          <w:b/>
          <w:bCs/>
        </w:rPr>
        <w:t xml:space="preserve">Partnerships for the Goals </w:t>
      </w:r>
      <w:r w:rsidRPr="009C0DCC">
        <w:t xml:space="preserve">– lobby government to boost development financing.  Achieving the Sustainable Development Goals could </w:t>
      </w:r>
      <w:proofErr w:type="gramStart"/>
      <w:r w:rsidRPr="009C0DCC">
        <w:t>open up</w:t>
      </w:r>
      <w:proofErr w:type="gramEnd"/>
      <w:r w:rsidRPr="009C0DCC">
        <w:t xml:space="preserve"> $12trillion USD of market opportunities and could create 380 million new jobs by 2030.</w:t>
      </w:r>
      <w:r>
        <w:t xml:space="preserve"> </w:t>
      </w:r>
    </w:p>
    <w:p w14:paraId="2CC5BD86" w14:textId="77777777" w:rsidR="00A14DD2" w:rsidRPr="00744F5F" w:rsidRDefault="00A14DD2" w:rsidP="006746BF">
      <w:pPr>
        <w:tabs>
          <w:tab w:val="left" w:pos="142"/>
        </w:tabs>
        <w:rPr>
          <w:sz w:val="22"/>
        </w:rPr>
      </w:pPr>
      <w:r w:rsidRPr="00744F5F">
        <w:rPr>
          <w:sz w:val="16"/>
          <w:szCs w:val="16"/>
        </w:rPr>
        <w:t>(</w:t>
      </w:r>
      <w:proofErr w:type="gramStart"/>
      <w:r w:rsidRPr="00744F5F">
        <w:rPr>
          <w:sz w:val="16"/>
          <w:szCs w:val="16"/>
        </w:rPr>
        <w:t>source</w:t>
      </w:r>
      <w:proofErr w:type="gramEnd"/>
      <w:r w:rsidRPr="00744F5F">
        <w:rPr>
          <w:sz w:val="16"/>
          <w:szCs w:val="16"/>
        </w:rPr>
        <w:t xml:space="preserve">: </w:t>
      </w:r>
      <w:hyperlink r:id="rId7" w:history="1">
        <w:r w:rsidRPr="00744F5F">
          <w:rPr>
            <w:rStyle w:val="Hyperlink"/>
            <w:sz w:val="16"/>
            <w:szCs w:val="16"/>
          </w:rPr>
          <w:t>UN Sustainable Development Goals</w:t>
        </w:r>
      </w:hyperlink>
    </w:p>
    <w:p w14:paraId="390492B9" w14:textId="77777777" w:rsidR="00A14DD2" w:rsidRPr="004F7564" w:rsidRDefault="00A14DD2" w:rsidP="006746BF">
      <w:pPr>
        <w:tabs>
          <w:tab w:val="left" w:pos="142"/>
        </w:tabs>
        <w:rPr>
          <w:b/>
          <w:bCs/>
          <w:lang w:eastAsia="en-AU"/>
        </w:rPr>
      </w:pPr>
      <w:r w:rsidRPr="004F7564">
        <w:rPr>
          <w:b/>
          <w:bCs/>
          <w:lang w:eastAsia="en-AU"/>
        </w:rPr>
        <w:t>Social Impact Criteria</w:t>
      </w:r>
    </w:p>
    <w:p w14:paraId="7F7DA343" w14:textId="77777777" w:rsidR="00A14DD2" w:rsidRDefault="00A14DD2" w:rsidP="006746BF">
      <w:pPr>
        <w:tabs>
          <w:tab w:val="left" w:pos="142"/>
        </w:tabs>
      </w:pPr>
      <w:r>
        <w:rPr>
          <w:rFonts w:cs="Arial"/>
        </w:rPr>
        <w:t>ORGANISATION NAME</w:t>
      </w:r>
      <w:r w:rsidRPr="00413535">
        <w:t xml:space="preserve"> </w:t>
      </w:r>
      <w:r>
        <w:t>will embed s</w:t>
      </w:r>
      <w:r w:rsidRPr="00413535">
        <w:t xml:space="preserve">ocial criteria </w:t>
      </w:r>
      <w:r>
        <w:t xml:space="preserve">measures in </w:t>
      </w:r>
      <w:r w:rsidRPr="00413535">
        <w:t xml:space="preserve">the </w:t>
      </w:r>
      <w:r>
        <w:t>organisation’s</w:t>
      </w:r>
      <w:r w:rsidRPr="00413535">
        <w:t xml:space="preserve"> business relationships</w:t>
      </w:r>
      <w:r>
        <w:t xml:space="preserve"> including:</w:t>
      </w:r>
    </w:p>
    <w:p w14:paraId="11ED3C4D" w14:textId="77777777" w:rsidR="00A14DD2" w:rsidRDefault="00A14DD2" w:rsidP="006746BF">
      <w:pPr>
        <w:pStyle w:val="ListParagraph"/>
        <w:numPr>
          <w:ilvl w:val="0"/>
          <w:numId w:val="5"/>
        </w:numPr>
        <w:tabs>
          <w:tab w:val="left" w:pos="142"/>
        </w:tabs>
      </w:pPr>
      <w:r>
        <w:t>E</w:t>
      </w:r>
      <w:r w:rsidRPr="00AB7ACE">
        <w:t>xamin</w:t>
      </w:r>
      <w:r>
        <w:t>ing</w:t>
      </w:r>
      <w:r w:rsidRPr="00AB7ACE">
        <w:t xml:space="preserve"> the suppliers and organisations </w:t>
      </w:r>
      <w:r>
        <w:t>used</w:t>
      </w:r>
      <w:r w:rsidRPr="00AB7ACE">
        <w:t xml:space="preserve"> to ensure that they hold the same values as </w:t>
      </w:r>
      <w:r>
        <w:rPr>
          <w:rFonts w:cs="Arial"/>
        </w:rPr>
        <w:t>ORGANISATION NAME</w:t>
      </w:r>
      <w:r w:rsidRPr="00AB7ACE">
        <w:t xml:space="preserve"> </w:t>
      </w:r>
    </w:p>
    <w:p w14:paraId="552F0C4B" w14:textId="77777777" w:rsidR="00A14DD2" w:rsidRDefault="00A14DD2" w:rsidP="006746BF">
      <w:pPr>
        <w:pStyle w:val="ListParagraph"/>
        <w:numPr>
          <w:ilvl w:val="0"/>
          <w:numId w:val="5"/>
        </w:numPr>
        <w:tabs>
          <w:tab w:val="left" w:pos="142"/>
        </w:tabs>
      </w:pPr>
      <w:r>
        <w:t>D</w:t>
      </w:r>
      <w:r w:rsidRPr="00AB7ACE">
        <w:t>onat</w:t>
      </w:r>
      <w:r>
        <w:t>ing</w:t>
      </w:r>
      <w:r w:rsidRPr="00AB7ACE">
        <w:t xml:space="preserve"> a percentage of profits to the local community or encourag</w:t>
      </w:r>
      <w:r>
        <w:t>ing</w:t>
      </w:r>
      <w:r w:rsidRPr="00AB7ACE">
        <w:t xml:space="preserve"> employees to perform volunteer work </w:t>
      </w:r>
    </w:p>
    <w:p w14:paraId="08F78D8A" w14:textId="77777777" w:rsidR="00A14DD2" w:rsidRDefault="00A14DD2" w:rsidP="006746BF">
      <w:pPr>
        <w:pStyle w:val="ListParagraph"/>
        <w:numPr>
          <w:ilvl w:val="0"/>
          <w:numId w:val="5"/>
        </w:numPr>
        <w:tabs>
          <w:tab w:val="left" w:pos="142"/>
        </w:tabs>
      </w:pPr>
      <w:r>
        <w:t>ensuring that working</w:t>
      </w:r>
      <w:r w:rsidRPr="00AB7ACE">
        <w:t xml:space="preserve"> conditions show high regard for</w:t>
      </w:r>
      <w:r>
        <w:t xml:space="preserve"> the</w:t>
      </w:r>
      <w:r w:rsidRPr="00AB7ACE">
        <w:t xml:space="preserve"> health and safety</w:t>
      </w:r>
      <w:r>
        <w:t xml:space="preserve"> of</w:t>
      </w:r>
      <w:r w:rsidRPr="0042725F">
        <w:t xml:space="preserve"> </w:t>
      </w:r>
      <w:r w:rsidRPr="00AB7ACE">
        <w:t xml:space="preserve">its employees’ health and safety </w:t>
      </w:r>
    </w:p>
    <w:p w14:paraId="1BFD9704" w14:textId="77777777" w:rsidR="00A14DD2" w:rsidRDefault="00A14DD2" w:rsidP="006746BF">
      <w:pPr>
        <w:pStyle w:val="ListParagraph"/>
        <w:numPr>
          <w:ilvl w:val="0"/>
          <w:numId w:val="5"/>
        </w:numPr>
        <w:tabs>
          <w:tab w:val="left" w:pos="142"/>
        </w:tabs>
      </w:pPr>
      <w:proofErr w:type="gramStart"/>
      <w:r>
        <w:t>Taking into account</w:t>
      </w:r>
      <w:proofErr w:type="gramEnd"/>
      <w:r>
        <w:t xml:space="preserve"> the </w:t>
      </w:r>
      <w:r w:rsidRPr="00AB7ACE">
        <w:t xml:space="preserve">interests </w:t>
      </w:r>
      <w:r>
        <w:t xml:space="preserve">of </w:t>
      </w:r>
      <w:r w:rsidRPr="00AB7ACE">
        <w:t>other stakeholders</w:t>
      </w:r>
    </w:p>
    <w:p w14:paraId="6A972A8D" w14:textId="77777777" w:rsidR="00A14DD2" w:rsidRPr="004F7564" w:rsidRDefault="00A14DD2" w:rsidP="006746BF">
      <w:pPr>
        <w:tabs>
          <w:tab w:val="left" w:pos="142"/>
        </w:tabs>
        <w:rPr>
          <w:b/>
          <w:bCs/>
          <w:lang w:eastAsia="en-AU"/>
        </w:rPr>
      </w:pPr>
      <w:r w:rsidRPr="004F7564">
        <w:rPr>
          <w:b/>
          <w:bCs/>
          <w:lang w:eastAsia="en-AU"/>
        </w:rPr>
        <w:t>Governance Criteria</w:t>
      </w:r>
    </w:p>
    <w:p w14:paraId="4448429B" w14:textId="77777777" w:rsidR="00A14DD2" w:rsidRDefault="00A14DD2" w:rsidP="006746BF">
      <w:pPr>
        <w:tabs>
          <w:tab w:val="left" w:pos="142"/>
        </w:tabs>
      </w:pPr>
      <w:r>
        <w:rPr>
          <w:rFonts w:cs="Arial"/>
        </w:rPr>
        <w:t>ORGANISATION NAME</w:t>
      </w:r>
      <w:r>
        <w:t xml:space="preserve"> is committed to being an ethical organisation by: </w:t>
      </w:r>
    </w:p>
    <w:p w14:paraId="233016EB" w14:textId="77777777" w:rsidR="00A14DD2" w:rsidRDefault="00A14DD2" w:rsidP="006746BF">
      <w:pPr>
        <w:pStyle w:val="ListParagraph"/>
        <w:numPr>
          <w:ilvl w:val="0"/>
          <w:numId w:val="6"/>
        </w:numPr>
        <w:tabs>
          <w:tab w:val="left" w:pos="142"/>
        </w:tabs>
      </w:pPr>
      <w:r w:rsidRPr="00583793">
        <w:t>not engag</w:t>
      </w:r>
      <w:r>
        <w:t>ing</w:t>
      </w:r>
      <w:r w:rsidRPr="00583793">
        <w:t xml:space="preserve"> in any unethical or illegal practices</w:t>
      </w:r>
    </w:p>
    <w:p w14:paraId="06EBEA59" w14:textId="77777777" w:rsidR="00A14DD2" w:rsidRPr="00583793" w:rsidRDefault="00A14DD2" w:rsidP="006746BF">
      <w:pPr>
        <w:pStyle w:val="ListParagraph"/>
        <w:numPr>
          <w:ilvl w:val="0"/>
          <w:numId w:val="6"/>
        </w:numPr>
        <w:tabs>
          <w:tab w:val="left" w:pos="142"/>
        </w:tabs>
      </w:pPr>
      <w:r w:rsidRPr="008937DD">
        <w:t>not us</w:t>
      </w:r>
      <w:r>
        <w:t>ing</w:t>
      </w:r>
      <w:r w:rsidRPr="008937DD">
        <w:t xml:space="preserve"> political contributions to obtain unduly favo</w:t>
      </w:r>
      <w:r>
        <w:t>u</w:t>
      </w:r>
      <w:r w:rsidRPr="008937DD">
        <w:t>rable treatment</w:t>
      </w:r>
      <w:r w:rsidRPr="00583793">
        <w:t xml:space="preserve"> </w:t>
      </w:r>
    </w:p>
    <w:p w14:paraId="238A1BEB" w14:textId="77777777" w:rsidR="00A14DD2" w:rsidRPr="00583793" w:rsidRDefault="00A14DD2" w:rsidP="006746BF">
      <w:pPr>
        <w:pStyle w:val="ListParagraph"/>
        <w:numPr>
          <w:ilvl w:val="0"/>
          <w:numId w:val="6"/>
        </w:numPr>
        <w:tabs>
          <w:tab w:val="left" w:pos="142"/>
        </w:tabs>
      </w:pPr>
      <w:r w:rsidRPr="00583793">
        <w:t>usi</w:t>
      </w:r>
      <w:r>
        <w:t>ng</w:t>
      </w:r>
      <w:r w:rsidRPr="00583793">
        <w:t xml:space="preserve"> accurate and transparent accounting methods </w:t>
      </w:r>
    </w:p>
    <w:p w14:paraId="045DDA12" w14:textId="77777777" w:rsidR="00A14DD2" w:rsidRPr="00583793" w:rsidRDefault="00A14DD2" w:rsidP="006746BF">
      <w:pPr>
        <w:pStyle w:val="ListParagraph"/>
        <w:numPr>
          <w:ilvl w:val="0"/>
          <w:numId w:val="6"/>
        </w:numPr>
        <w:tabs>
          <w:tab w:val="left" w:pos="142"/>
        </w:tabs>
      </w:pPr>
      <w:r w:rsidRPr="00583793">
        <w:t>consult</w:t>
      </w:r>
      <w:r>
        <w:t xml:space="preserve">ing with </w:t>
      </w:r>
      <w:r w:rsidRPr="00583793">
        <w:t xml:space="preserve">stakeholders </w:t>
      </w:r>
    </w:p>
    <w:p w14:paraId="1F8393E5" w14:textId="77777777" w:rsidR="00A14DD2" w:rsidRPr="00583793" w:rsidRDefault="00A14DD2" w:rsidP="006746BF">
      <w:pPr>
        <w:pStyle w:val="ListParagraph"/>
        <w:numPr>
          <w:ilvl w:val="0"/>
          <w:numId w:val="6"/>
        </w:numPr>
        <w:tabs>
          <w:tab w:val="left" w:pos="142"/>
        </w:tabs>
      </w:pPr>
      <w:r w:rsidRPr="00583793">
        <w:t>avoid</w:t>
      </w:r>
      <w:r>
        <w:t>ing</w:t>
      </w:r>
      <w:r w:rsidRPr="00583793">
        <w:t xml:space="preserve"> conflicts of interest </w:t>
      </w:r>
    </w:p>
    <w:p w14:paraId="15CD8A3E" w14:textId="77777777" w:rsidR="00A14DD2" w:rsidRPr="00F01416" w:rsidRDefault="00A14DD2" w:rsidP="006746BF">
      <w:pPr>
        <w:tabs>
          <w:tab w:val="left" w:pos="142"/>
        </w:tabs>
        <w:rPr>
          <w:b/>
          <w:bCs/>
          <w:lang w:eastAsia="en-AU"/>
        </w:rPr>
      </w:pPr>
      <w:r w:rsidRPr="00F01416">
        <w:rPr>
          <w:b/>
          <w:bCs/>
          <w:lang w:eastAsia="en-AU"/>
        </w:rPr>
        <w:t>Reporting ESG Achievements</w:t>
      </w:r>
    </w:p>
    <w:tbl>
      <w:tblPr>
        <w:tblStyle w:val="TableGrid"/>
        <w:tblpPr w:leftFromText="180" w:rightFromText="180" w:vertAnchor="text" w:tblpX="562" w:tblpY="521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286"/>
        <w:gridCol w:w="2785"/>
        <w:gridCol w:w="3288"/>
      </w:tblGrid>
      <w:tr w:rsidR="00595B6D" w:rsidRPr="009C022F" w14:paraId="2E6B506E" w14:textId="77777777" w:rsidTr="00F812AC">
        <w:tc>
          <w:tcPr>
            <w:tcW w:w="2286" w:type="dxa"/>
            <w:shd w:val="clear" w:color="auto" w:fill="F2F2F2" w:themeFill="background1" w:themeFillShade="F2"/>
          </w:tcPr>
          <w:p w14:paraId="6B58D936" w14:textId="77777777" w:rsidR="00595B6D" w:rsidRPr="00F3404E" w:rsidRDefault="00595B6D" w:rsidP="006746BF">
            <w:pPr>
              <w:tabs>
                <w:tab w:val="left" w:pos="142"/>
              </w:tabs>
              <w:ind w:left="0"/>
              <w:jc w:val="left"/>
              <w:rPr>
                <w:b/>
                <w:bCs/>
              </w:rPr>
            </w:pPr>
            <w:r w:rsidRPr="00F3404E">
              <w:rPr>
                <w:b/>
                <w:bCs/>
              </w:rPr>
              <w:t>Environmental Issues</w:t>
            </w:r>
          </w:p>
        </w:tc>
        <w:tc>
          <w:tcPr>
            <w:tcW w:w="2785" w:type="dxa"/>
            <w:shd w:val="clear" w:color="auto" w:fill="F2F2F2" w:themeFill="background1" w:themeFillShade="F2"/>
          </w:tcPr>
          <w:p w14:paraId="4A91D657" w14:textId="77777777" w:rsidR="00595B6D" w:rsidRPr="00F3404E" w:rsidRDefault="00595B6D" w:rsidP="006746BF">
            <w:pPr>
              <w:tabs>
                <w:tab w:val="left" w:pos="142"/>
              </w:tabs>
              <w:ind w:left="0"/>
              <w:jc w:val="left"/>
              <w:rPr>
                <w:b/>
                <w:bCs/>
              </w:rPr>
            </w:pPr>
            <w:r w:rsidRPr="00F3404E">
              <w:rPr>
                <w:b/>
                <w:bCs/>
              </w:rPr>
              <w:t>Social Issues</w:t>
            </w:r>
          </w:p>
        </w:tc>
        <w:tc>
          <w:tcPr>
            <w:tcW w:w="3288" w:type="dxa"/>
            <w:shd w:val="clear" w:color="auto" w:fill="F2F2F2" w:themeFill="background1" w:themeFillShade="F2"/>
          </w:tcPr>
          <w:p w14:paraId="57D8ACD5" w14:textId="77777777" w:rsidR="00595B6D" w:rsidRPr="00F3404E" w:rsidRDefault="00595B6D" w:rsidP="006746BF">
            <w:pPr>
              <w:tabs>
                <w:tab w:val="left" w:pos="142"/>
              </w:tabs>
              <w:ind w:left="0"/>
              <w:jc w:val="left"/>
              <w:rPr>
                <w:b/>
                <w:bCs/>
              </w:rPr>
            </w:pPr>
            <w:r w:rsidRPr="00F3404E">
              <w:rPr>
                <w:b/>
                <w:bCs/>
              </w:rPr>
              <w:t>Governance Issues</w:t>
            </w:r>
          </w:p>
        </w:tc>
      </w:tr>
      <w:tr w:rsidR="00595B6D" w14:paraId="71ACDD52" w14:textId="77777777" w:rsidTr="00F812AC">
        <w:trPr>
          <w:trHeight w:val="782"/>
        </w:trPr>
        <w:tc>
          <w:tcPr>
            <w:tcW w:w="2286" w:type="dxa"/>
          </w:tcPr>
          <w:p w14:paraId="65F958C3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Climate change and carbon emissions</w:t>
            </w:r>
          </w:p>
        </w:tc>
        <w:tc>
          <w:tcPr>
            <w:tcW w:w="2785" w:type="dxa"/>
          </w:tcPr>
          <w:p w14:paraId="29CF11A6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t>Customer satisfaction</w:t>
            </w:r>
          </w:p>
        </w:tc>
        <w:tc>
          <w:tcPr>
            <w:tcW w:w="3288" w:type="dxa"/>
          </w:tcPr>
          <w:p w14:paraId="07E4DADC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Board composition</w:t>
            </w:r>
          </w:p>
        </w:tc>
      </w:tr>
      <w:tr w:rsidR="00595B6D" w14:paraId="52EEAB7E" w14:textId="77777777" w:rsidTr="00F812AC">
        <w:tc>
          <w:tcPr>
            <w:tcW w:w="2286" w:type="dxa"/>
          </w:tcPr>
          <w:p w14:paraId="0FB383DC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t>Air and water pollution</w:t>
            </w:r>
          </w:p>
        </w:tc>
        <w:tc>
          <w:tcPr>
            <w:tcW w:w="2785" w:type="dxa"/>
          </w:tcPr>
          <w:p w14:paraId="74D64624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t>Data protection and privacy</w:t>
            </w:r>
          </w:p>
        </w:tc>
        <w:tc>
          <w:tcPr>
            <w:tcW w:w="3288" w:type="dxa"/>
          </w:tcPr>
          <w:p w14:paraId="5B4DCE42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t>Audit committee structure</w:t>
            </w:r>
          </w:p>
        </w:tc>
      </w:tr>
      <w:tr w:rsidR="00595B6D" w14:paraId="7BBDEBED" w14:textId="77777777" w:rsidTr="00F812AC">
        <w:tc>
          <w:tcPr>
            <w:tcW w:w="2286" w:type="dxa"/>
          </w:tcPr>
          <w:p w14:paraId="2935E1BB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Biodiversity</w:t>
            </w:r>
          </w:p>
        </w:tc>
        <w:tc>
          <w:tcPr>
            <w:tcW w:w="2785" w:type="dxa"/>
          </w:tcPr>
          <w:p w14:paraId="13219E6D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t>Gender and diversity</w:t>
            </w:r>
          </w:p>
        </w:tc>
        <w:tc>
          <w:tcPr>
            <w:tcW w:w="3288" w:type="dxa"/>
          </w:tcPr>
          <w:p w14:paraId="0BC766C3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Bribery and corruption</w:t>
            </w:r>
          </w:p>
        </w:tc>
      </w:tr>
      <w:tr w:rsidR="00595B6D" w14:paraId="04AF8EC4" w14:textId="77777777" w:rsidTr="00F812AC">
        <w:tc>
          <w:tcPr>
            <w:tcW w:w="2286" w:type="dxa"/>
          </w:tcPr>
          <w:p w14:paraId="4010DFEE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Deforestation</w:t>
            </w:r>
          </w:p>
        </w:tc>
        <w:tc>
          <w:tcPr>
            <w:tcW w:w="2785" w:type="dxa"/>
          </w:tcPr>
          <w:p w14:paraId="626B789D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t>Employee engagement</w:t>
            </w:r>
          </w:p>
        </w:tc>
        <w:tc>
          <w:tcPr>
            <w:tcW w:w="3288" w:type="dxa"/>
          </w:tcPr>
          <w:p w14:paraId="4FFEFFFE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Executive compensation</w:t>
            </w:r>
          </w:p>
        </w:tc>
      </w:tr>
      <w:tr w:rsidR="00595B6D" w14:paraId="115FB0A5" w14:textId="77777777" w:rsidTr="00F812AC">
        <w:tc>
          <w:tcPr>
            <w:tcW w:w="2286" w:type="dxa"/>
          </w:tcPr>
          <w:p w14:paraId="5E04A05C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lastRenderedPageBreak/>
              <w:t>Energy efficiency</w:t>
            </w:r>
          </w:p>
        </w:tc>
        <w:tc>
          <w:tcPr>
            <w:tcW w:w="2785" w:type="dxa"/>
          </w:tcPr>
          <w:p w14:paraId="7288DB3C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Community relations</w:t>
            </w:r>
          </w:p>
        </w:tc>
        <w:tc>
          <w:tcPr>
            <w:tcW w:w="3288" w:type="dxa"/>
          </w:tcPr>
          <w:p w14:paraId="074F89A2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Lobbying</w:t>
            </w:r>
          </w:p>
        </w:tc>
      </w:tr>
      <w:tr w:rsidR="00595B6D" w14:paraId="36D569F4" w14:textId="77777777" w:rsidTr="00F812AC">
        <w:tc>
          <w:tcPr>
            <w:tcW w:w="2286" w:type="dxa"/>
          </w:tcPr>
          <w:p w14:paraId="1F08648A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t>Waste management</w:t>
            </w:r>
          </w:p>
        </w:tc>
        <w:tc>
          <w:tcPr>
            <w:tcW w:w="2785" w:type="dxa"/>
          </w:tcPr>
          <w:p w14:paraId="2005B742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Human rights</w:t>
            </w:r>
          </w:p>
        </w:tc>
        <w:tc>
          <w:tcPr>
            <w:tcW w:w="3288" w:type="dxa"/>
          </w:tcPr>
          <w:p w14:paraId="16543080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Political contributions</w:t>
            </w:r>
          </w:p>
        </w:tc>
      </w:tr>
      <w:tr w:rsidR="00595B6D" w14:paraId="2DC507E1" w14:textId="77777777" w:rsidTr="00F812AC">
        <w:tc>
          <w:tcPr>
            <w:tcW w:w="2286" w:type="dxa"/>
          </w:tcPr>
          <w:p w14:paraId="344E8C1C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>
              <w:t>Water scarcity</w:t>
            </w:r>
          </w:p>
        </w:tc>
        <w:tc>
          <w:tcPr>
            <w:tcW w:w="2785" w:type="dxa"/>
          </w:tcPr>
          <w:p w14:paraId="4461D92D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Labour standards</w:t>
            </w:r>
          </w:p>
        </w:tc>
        <w:tc>
          <w:tcPr>
            <w:tcW w:w="3288" w:type="dxa"/>
          </w:tcPr>
          <w:p w14:paraId="78D5665D" w14:textId="77777777" w:rsidR="00595B6D" w:rsidRPr="00CA3287" w:rsidRDefault="00595B6D" w:rsidP="006746BF">
            <w:pPr>
              <w:tabs>
                <w:tab w:val="left" w:pos="142"/>
              </w:tabs>
              <w:ind w:left="0"/>
              <w:jc w:val="left"/>
            </w:pPr>
            <w:r w:rsidRPr="00CA3287">
              <w:t>Whistleblower schemes</w:t>
            </w:r>
          </w:p>
        </w:tc>
      </w:tr>
    </w:tbl>
    <w:p w14:paraId="093D1C08" w14:textId="77777777" w:rsidR="00A14DD2" w:rsidRDefault="00A14DD2" w:rsidP="006746BF">
      <w:pPr>
        <w:tabs>
          <w:tab w:val="left" w:pos="142"/>
        </w:tabs>
      </w:pPr>
      <w:r>
        <w:t xml:space="preserve">The Board will include ESG Goals in its objectives and will monitor progress via the receipt of annual reports. </w:t>
      </w:r>
    </w:p>
    <w:p w14:paraId="08691888" w14:textId="77777777" w:rsidR="00A14DD2" w:rsidRPr="00F01416" w:rsidRDefault="00A14DD2" w:rsidP="006746BF">
      <w:pPr>
        <w:tabs>
          <w:tab w:val="left" w:pos="142"/>
        </w:tabs>
        <w:rPr>
          <w:b/>
          <w:bCs/>
          <w:lang w:eastAsia="en-AU"/>
        </w:rPr>
      </w:pPr>
      <w:r w:rsidRPr="00F01416">
        <w:rPr>
          <w:b/>
          <w:bCs/>
          <w:lang w:eastAsia="en-AU"/>
        </w:rPr>
        <w:t>Types of ESG Criteria</w:t>
      </w:r>
    </w:p>
    <w:p w14:paraId="42DEC0AB" w14:textId="77777777" w:rsidR="00A14DD2" w:rsidRPr="00C9676A" w:rsidRDefault="00A14DD2" w:rsidP="006746BF">
      <w:pPr>
        <w:tabs>
          <w:tab w:val="left" w:pos="142"/>
        </w:tabs>
        <w:rPr>
          <w:sz w:val="16"/>
          <w:szCs w:val="16"/>
        </w:rPr>
      </w:pPr>
      <w:r w:rsidRPr="00A76DC6">
        <w:t xml:space="preserve">ESG issues can be difficult to classify neatly, but the </w:t>
      </w:r>
      <w:r>
        <w:t>Chartered Financial Analyst Institute (</w:t>
      </w:r>
      <w:r w:rsidRPr="00A76DC6">
        <w:t>CFA Institute</w:t>
      </w:r>
      <w:r>
        <w:t>)</w:t>
      </w:r>
      <w:r w:rsidRPr="00A76DC6">
        <w:t xml:space="preserve"> has effectively broken them down as follows:</w:t>
      </w:r>
      <w:r>
        <w:t xml:space="preserve"> </w:t>
      </w:r>
      <w:hyperlink r:id="rId8" w:history="1">
        <w:r w:rsidRPr="00C9676A">
          <w:rPr>
            <w:rStyle w:val="Hyperlink"/>
            <w:sz w:val="16"/>
            <w:szCs w:val="16"/>
          </w:rPr>
          <w:t>Source</w:t>
        </w:r>
      </w:hyperlink>
    </w:p>
    <w:p w14:paraId="522C5BCF" w14:textId="77777777" w:rsidR="00A14DD2" w:rsidRDefault="00A14DD2" w:rsidP="006746BF">
      <w:pPr>
        <w:tabs>
          <w:tab w:val="left" w:pos="142"/>
        </w:tabs>
        <w:rPr>
          <w:sz w:val="22"/>
        </w:rPr>
      </w:pPr>
      <w:r>
        <w:t>ORGANISATION NAME will periodically review progress against these criteria and implement response actions as identified, and as appropriate.</w:t>
      </w:r>
    </w:p>
    <w:p w14:paraId="0ACAF4B6" w14:textId="77777777" w:rsidR="00A14DD2" w:rsidRPr="004F58F9" w:rsidRDefault="00A14DD2" w:rsidP="006746BF">
      <w:pPr>
        <w:pStyle w:val="Heading4"/>
        <w:tabs>
          <w:tab w:val="left" w:pos="142"/>
        </w:tabs>
      </w:pPr>
      <w:r>
        <w:t>R</w:t>
      </w:r>
      <w:r w:rsidRPr="004F58F9">
        <w:t xml:space="preserve">elated Legislation, </w:t>
      </w:r>
      <w:r>
        <w:t>ORGANISATION NAME</w:t>
      </w:r>
      <w:r w:rsidRPr="004F58F9">
        <w:t xml:space="preserve"> Documents and Other Documents</w:t>
      </w:r>
    </w:p>
    <w:tbl>
      <w:tblPr>
        <w:tblStyle w:val="TableGrid1"/>
        <w:tblW w:w="8505" w:type="dxa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670"/>
      </w:tblGrid>
      <w:tr w:rsidR="00A14DD2" w:rsidRPr="007A38D7" w14:paraId="19F18AB5" w14:textId="77777777" w:rsidTr="00F812AC">
        <w:tc>
          <w:tcPr>
            <w:tcW w:w="2835" w:type="dxa"/>
          </w:tcPr>
          <w:p w14:paraId="271A9BCC" w14:textId="77777777" w:rsidR="00A14DD2" w:rsidRPr="006B0B75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6B0B75">
              <w:t>Legislation</w:t>
            </w:r>
            <w:r>
              <w:t>:</w:t>
            </w:r>
          </w:p>
        </w:tc>
        <w:tc>
          <w:tcPr>
            <w:tcW w:w="5670" w:type="dxa"/>
          </w:tcPr>
          <w:p w14:paraId="42D7A4FF" w14:textId="77777777" w:rsidR="00A14DD2" w:rsidRPr="00F01416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None in Australia (</w:t>
            </w:r>
            <w:proofErr w:type="gramStart"/>
            <w:r>
              <w:t>as yet</w:t>
            </w:r>
            <w:proofErr w:type="gramEnd"/>
            <w:r>
              <w:t>)</w:t>
            </w:r>
            <w:r w:rsidRPr="00F01416">
              <w:t xml:space="preserve"> </w:t>
            </w:r>
          </w:p>
          <w:p w14:paraId="65E193D7" w14:textId="77777777" w:rsidR="00A14DD2" w:rsidRPr="00483053" w:rsidRDefault="00A14DD2" w:rsidP="006746BF">
            <w:pPr>
              <w:tabs>
                <w:tab w:val="left" w:pos="142"/>
              </w:tabs>
              <w:ind w:left="0"/>
              <w:jc w:val="left"/>
            </w:pPr>
          </w:p>
        </w:tc>
      </w:tr>
      <w:tr w:rsidR="00A14DD2" w:rsidRPr="007A38D7" w14:paraId="137DE863" w14:textId="77777777" w:rsidTr="00F812AC">
        <w:tc>
          <w:tcPr>
            <w:tcW w:w="2835" w:type="dxa"/>
          </w:tcPr>
          <w:p w14:paraId="6262EEEF" w14:textId="77777777" w:rsidR="00A14DD2" w:rsidRPr="006B0B75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Organisational</w:t>
            </w:r>
            <w:r w:rsidRPr="006B0B75">
              <w:t xml:space="preserve"> Documents</w:t>
            </w:r>
            <w:r>
              <w:t>:</w:t>
            </w:r>
          </w:p>
        </w:tc>
        <w:tc>
          <w:tcPr>
            <w:tcW w:w="5670" w:type="dxa"/>
          </w:tcPr>
          <w:p w14:paraId="087534F9" w14:textId="77777777" w:rsidR="00A14DD2" w:rsidRPr="00483053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Strategic Priorities for the organisation should tested for alignment with the United Nations ESG Goals (listed with URL, above)</w:t>
            </w:r>
          </w:p>
        </w:tc>
      </w:tr>
      <w:tr w:rsidR="00A14DD2" w:rsidRPr="007A38D7" w14:paraId="069C5C7D" w14:textId="77777777" w:rsidTr="00F812AC">
        <w:tc>
          <w:tcPr>
            <w:tcW w:w="2835" w:type="dxa"/>
          </w:tcPr>
          <w:p w14:paraId="6048CCB8" w14:textId="77777777" w:rsidR="00A14DD2" w:rsidRPr="006B0B75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6B0B75">
              <w:t>Other Documents</w:t>
            </w:r>
            <w:r>
              <w:t>:</w:t>
            </w:r>
          </w:p>
        </w:tc>
        <w:tc>
          <w:tcPr>
            <w:tcW w:w="5670" w:type="dxa"/>
          </w:tcPr>
          <w:p w14:paraId="63E295DE" w14:textId="77777777" w:rsidR="00A14DD2" w:rsidRPr="00483053" w:rsidRDefault="00A14DD2" w:rsidP="006746BF">
            <w:pPr>
              <w:tabs>
                <w:tab w:val="left" w:pos="142"/>
              </w:tabs>
              <w:ind w:left="0"/>
              <w:jc w:val="left"/>
            </w:pPr>
          </w:p>
        </w:tc>
      </w:tr>
    </w:tbl>
    <w:p w14:paraId="3794DE09" w14:textId="77777777" w:rsidR="00A14DD2" w:rsidRPr="004F58F9" w:rsidRDefault="00A14DD2" w:rsidP="006746BF">
      <w:pPr>
        <w:pStyle w:val="Heading4"/>
        <w:tabs>
          <w:tab w:val="left" w:pos="142"/>
        </w:tabs>
      </w:pPr>
      <w:r w:rsidRPr="004F58F9">
        <w:t xml:space="preserve">Policy Management </w:t>
      </w:r>
    </w:p>
    <w:tbl>
      <w:tblPr>
        <w:tblStyle w:val="TableGrid1"/>
        <w:tblW w:w="8647" w:type="dxa"/>
        <w:tblInd w:w="557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812"/>
      </w:tblGrid>
      <w:tr w:rsidR="00A14DD2" w:rsidRPr="007A38D7" w14:paraId="4EB5028D" w14:textId="77777777" w:rsidTr="00F812AC">
        <w:tc>
          <w:tcPr>
            <w:tcW w:w="2835" w:type="dxa"/>
          </w:tcPr>
          <w:p w14:paraId="6516C2B4" w14:textId="77777777" w:rsidR="00A14DD2" w:rsidRPr="006B0B75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6B0B75">
              <w:t>Policy owner</w:t>
            </w:r>
            <w:r>
              <w:t xml:space="preserve"> (role title):</w:t>
            </w:r>
          </w:p>
        </w:tc>
        <w:tc>
          <w:tcPr>
            <w:tcW w:w="5812" w:type="dxa"/>
          </w:tcPr>
          <w:p w14:paraId="35385F83" w14:textId="77777777" w:rsidR="00A14DD2" w:rsidRPr="00483053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Board</w:t>
            </w:r>
          </w:p>
        </w:tc>
      </w:tr>
      <w:tr w:rsidR="00A14DD2" w:rsidRPr="007A38D7" w14:paraId="588B5EE6" w14:textId="77777777" w:rsidTr="00F812AC">
        <w:tc>
          <w:tcPr>
            <w:tcW w:w="2835" w:type="dxa"/>
          </w:tcPr>
          <w:p w14:paraId="112FAC86" w14:textId="77777777" w:rsidR="00A14DD2" w:rsidRPr="006B0B75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6B0B75">
              <w:t>Role responsible for implementing</w:t>
            </w:r>
            <w:r>
              <w:t>:</w:t>
            </w:r>
          </w:p>
        </w:tc>
        <w:tc>
          <w:tcPr>
            <w:tcW w:w="5812" w:type="dxa"/>
          </w:tcPr>
          <w:p w14:paraId="6CFA473A" w14:textId="77777777" w:rsidR="00A14DD2" w:rsidRPr="00483053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CEO</w:t>
            </w:r>
          </w:p>
        </w:tc>
      </w:tr>
      <w:tr w:rsidR="00A14DD2" w:rsidRPr="007A38D7" w14:paraId="211AF387" w14:textId="77777777" w:rsidTr="00F812AC">
        <w:tc>
          <w:tcPr>
            <w:tcW w:w="2835" w:type="dxa"/>
          </w:tcPr>
          <w:p w14:paraId="75C48DDF" w14:textId="77777777" w:rsidR="00A14DD2" w:rsidRPr="004F58F9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6B0B75">
              <w:t>Review arrangements</w:t>
            </w:r>
            <w:r>
              <w:t>:</w:t>
            </w:r>
          </w:p>
        </w:tc>
        <w:tc>
          <w:tcPr>
            <w:tcW w:w="5812" w:type="dxa"/>
          </w:tcPr>
          <w:p w14:paraId="10838892" w14:textId="77777777" w:rsidR="00A14DD2" w:rsidRPr="00F01416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322F92">
              <w:t>24 months</w:t>
            </w:r>
          </w:p>
        </w:tc>
      </w:tr>
      <w:tr w:rsidR="00A14DD2" w:rsidRPr="007A38D7" w14:paraId="5601B1D8" w14:textId="77777777" w:rsidTr="00F812AC">
        <w:tc>
          <w:tcPr>
            <w:tcW w:w="2835" w:type="dxa"/>
          </w:tcPr>
          <w:p w14:paraId="21FD3525" w14:textId="77777777" w:rsidR="00A14DD2" w:rsidRPr="006B0B75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Next Review Date:</w:t>
            </w:r>
          </w:p>
        </w:tc>
        <w:tc>
          <w:tcPr>
            <w:tcW w:w="5812" w:type="dxa"/>
          </w:tcPr>
          <w:p w14:paraId="09ECA1A3" w14:textId="77777777" w:rsidR="00A14DD2" w:rsidRPr="00F01416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322F92">
              <w:t>Sept 2023</w:t>
            </w:r>
          </w:p>
        </w:tc>
      </w:tr>
    </w:tbl>
    <w:p w14:paraId="1A109E30" w14:textId="77777777" w:rsidR="00A14DD2" w:rsidRPr="004F58F9" w:rsidRDefault="00A14DD2" w:rsidP="006746BF">
      <w:pPr>
        <w:pStyle w:val="Heading4"/>
        <w:tabs>
          <w:tab w:val="left" w:pos="142"/>
        </w:tabs>
      </w:pPr>
      <w:r w:rsidRPr="004F58F9">
        <w:t>Document History</w:t>
      </w:r>
    </w:p>
    <w:tbl>
      <w:tblPr>
        <w:tblStyle w:val="TableGrid1"/>
        <w:tblW w:w="8789" w:type="dxa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A14DD2" w:rsidRPr="007A38D7" w14:paraId="1BBA9177" w14:textId="77777777" w:rsidTr="00F812AC">
        <w:tc>
          <w:tcPr>
            <w:tcW w:w="2835" w:type="dxa"/>
            <w:shd w:val="clear" w:color="auto" w:fill="F2F2F2" w:themeFill="background1" w:themeFillShade="F2"/>
            <w:hideMark/>
          </w:tcPr>
          <w:p w14:paraId="0A914E70" w14:textId="77777777" w:rsidR="00A14DD2" w:rsidRPr="00415F3B" w:rsidRDefault="00A14DD2" w:rsidP="006746BF">
            <w:pPr>
              <w:tabs>
                <w:tab w:val="left" w:pos="142"/>
              </w:tabs>
              <w:ind w:left="0"/>
              <w:jc w:val="left"/>
              <w:rPr>
                <w:b/>
                <w:bCs/>
              </w:rPr>
            </w:pPr>
            <w:r w:rsidRPr="00415F3B">
              <w:rPr>
                <w:b/>
                <w:bCs/>
              </w:rPr>
              <w:t>Date</w:t>
            </w:r>
          </w:p>
        </w:tc>
        <w:tc>
          <w:tcPr>
            <w:tcW w:w="5954" w:type="dxa"/>
            <w:shd w:val="clear" w:color="auto" w:fill="F2F2F2" w:themeFill="background1" w:themeFillShade="F2"/>
            <w:hideMark/>
          </w:tcPr>
          <w:p w14:paraId="037ADE9B" w14:textId="77777777" w:rsidR="00A14DD2" w:rsidRPr="00415F3B" w:rsidRDefault="00A14DD2" w:rsidP="006746BF">
            <w:pPr>
              <w:tabs>
                <w:tab w:val="left" w:pos="142"/>
              </w:tabs>
              <w:ind w:left="0"/>
              <w:jc w:val="left"/>
              <w:rPr>
                <w:b/>
                <w:bCs/>
              </w:rPr>
            </w:pPr>
            <w:r w:rsidRPr="00415F3B">
              <w:rPr>
                <w:b/>
                <w:bCs/>
              </w:rPr>
              <w:t>Amendments</w:t>
            </w:r>
          </w:p>
        </w:tc>
      </w:tr>
      <w:tr w:rsidR="00A14DD2" w:rsidRPr="007A38D7" w14:paraId="78B4703D" w14:textId="77777777" w:rsidTr="00F812AC">
        <w:tc>
          <w:tcPr>
            <w:tcW w:w="2835" w:type="dxa"/>
          </w:tcPr>
          <w:p w14:paraId="5F6B3BB3" w14:textId="77777777" w:rsidR="00A14DD2" w:rsidRPr="006B0B75" w:rsidRDefault="00A14DD2" w:rsidP="006746BF">
            <w:pPr>
              <w:tabs>
                <w:tab w:val="left" w:pos="142"/>
              </w:tabs>
              <w:ind w:left="0"/>
              <w:jc w:val="left"/>
            </w:pPr>
            <w:r>
              <w:t>July 2021</w:t>
            </w:r>
          </w:p>
        </w:tc>
        <w:tc>
          <w:tcPr>
            <w:tcW w:w="5954" w:type="dxa"/>
          </w:tcPr>
          <w:p w14:paraId="2FDE2815" w14:textId="77777777" w:rsidR="00A14DD2" w:rsidRPr="006B0B75" w:rsidRDefault="00A14DD2" w:rsidP="006746BF">
            <w:pPr>
              <w:tabs>
                <w:tab w:val="left" w:pos="142"/>
              </w:tabs>
              <w:ind w:left="0"/>
              <w:jc w:val="left"/>
            </w:pPr>
            <w:r w:rsidRPr="00483053">
              <w:t>Policy created and endorsed by Board</w:t>
            </w:r>
          </w:p>
        </w:tc>
      </w:tr>
      <w:tr w:rsidR="00A14DD2" w:rsidRPr="007A38D7" w14:paraId="05088217" w14:textId="77777777" w:rsidTr="00F812AC">
        <w:tc>
          <w:tcPr>
            <w:tcW w:w="2835" w:type="dxa"/>
          </w:tcPr>
          <w:p w14:paraId="3D42C05B" w14:textId="77777777" w:rsidR="00A14DD2" w:rsidRDefault="00A14DD2" w:rsidP="006746BF">
            <w:pPr>
              <w:tabs>
                <w:tab w:val="left" w:pos="142"/>
              </w:tabs>
              <w:ind w:left="0"/>
              <w:jc w:val="left"/>
            </w:pPr>
          </w:p>
        </w:tc>
        <w:tc>
          <w:tcPr>
            <w:tcW w:w="5954" w:type="dxa"/>
          </w:tcPr>
          <w:p w14:paraId="44DA47FD" w14:textId="77777777" w:rsidR="00A14DD2" w:rsidRPr="00483053" w:rsidRDefault="00A14DD2" w:rsidP="006746BF">
            <w:pPr>
              <w:tabs>
                <w:tab w:val="left" w:pos="142"/>
              </w:tabs>
              <w:ind w:left="0"/>
              <w:jc w:val="left"/>
            </w:pPr>
          </w:p>
        </w:tc>
      </w:tr>
    </w:tbl>
    <w:p w14:paraId="3696AAE9" w14:textId="77777777" w:rsidR="00FB32E8" w:rsidRDefault="00FB32E8" w:rsidP="006746BF">
      <w:pPr>
        <w:tabs>
          <w:tab w:val="left" w:pos="142"/>
        </w:tabs>
      </w:pPr>
    </w:p>
    <w:sectPr w:rsidR="00FB32E8" w:rsidSect="006746BF">
      <w:footerReference w:type="default" r:id="rId9"/>
      <w:pgSz w:w="11900" w:h="16840"/>
      <w:pgMar w:top="1440" w:right="1440" w:bottom="1440" w:left="87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E99E" w14:textId="77777777" w:rsidR="00BA445B" w:rsidRDefault="00BA445B" w:rsidP="00F812AC">
      <w:pPr>
        <w:spacing w:before="0" w:after="0"/>
      </w:pPr>
      <w:r>
        <w:separator/>
      </w:r>
    </w:p>
  </w:endnote>
  <w:endnote w:type="continuationSeparator" w:id="0">
    <w:p w14:paraId="60F6FE3F" w14:textId="77777777" w:rsidR="00BA445B" w:rsidRDefault="00BA445B" w:rsidP="00F812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7C9A4" w14:textId="329F5A9C" w:rsidR="00F812AC" w:rsidRPr="00F812AC" w:rsidRDefault="00F812AC" w:rsidP="00F812AC">
    <w:pPr>
      <w:pStyle w:val="Footer"/>
      <w:jc w:val="center"/>
      <w:rPr>
        <w:sz w:val="21"/>
        <w:szCs w:val="21"/>
        <w:lang w:val="en-US"/>
      </w:rPr>
    </w:pPr>
    <w:r w:rsidRPr="00F812AC">
      <w:rPr>
        <w:sz w:val="21"/>
        <w:szCs w:val="21"/>
        <w:lang w:val="en-US"/>
      </w:rPr>
      <w:t>Policy document provided by BoardPro and Conscious Governance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93F0" w14:textId="77777777" w:rsidR="00BA445B" w:rsidRDefault="00BA445B" w:rsidP="00F812AC">
      <w:pPr>
        <w:spacing w:before="0" w:after="0"/>
      </w:pPr>
      <w:r>
        <w:separator/>
      </w:r>
    </w:p>
  </w:footnote>
  <w:footnote w:type="continuationSeparator" w:id="0">
    <w:p w14:paraId="091B0A98" w14:textId="77777777" w:rsidR="00BA445B" w:rsidRDefault="00BA445B" w:rsidP="00F812A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B70"/>
    <w:multiLevelType w:val="hybridMultilevel"/>
    <w:tmpl w:val="FB3009E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0C21629"/>
    <w:multiLevelType w:val="hybridMultilevel"/>
    <w:tmpl w:val="87ECF40A"/>
    <w:lvl w:ilvl="0" w:tplc="2B7A3396">
      <w:start w:val="1"/>
      <w:numFmt w:val="bullet"/>
      <w:pStyle w:val="ListParagraph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8E77EC6"/>
    <w:multiLevelType w:val="hybridMultilevel"/>
    <w:tmpl w:val="8BA8130E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6687995"/>
    <w:multiLevelType w:val="hybridMultilevel"/>
    <w:tmpl w:val="11D8F4B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CB71FB4"/>
    <w:multiLevelType w:val="hybridMultilevel"/>
    <w:tmpl w:val="07A6D60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C475B5"/>
    <w:multiLevelType w:val="multilevel"/>
    <w:tmpl w:val="E6840B32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11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117283269">
    <w:abstractNumId w:val="5"/>
  </w:num>
  <w:num w:numId="2" w16cid:durableId="590043854">
    <w:abstractNumId w:val="0"/>
  </w:num>
  <w:num w:numId="3" w16cid:durableId="1804424686">
    <w:abstractNumId w:val="1"/>
  </w:num>
  <w:num w:numId="4" w16cid:durableId="1258831561">
    <w:abstractNumId w:val="3"/>
  </w:num>
  <w:num w:numId="5" w16cid:durableId="1744645909">
    <w:abstractNumId w:val="2"/>
  </w:num>
  <w:num w:numId="6" w16cid:durableId="1775056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D2"/>
    <w:rsid w:val="00595B6D"/>
    <w:rsid w:val="006746BF"/>
    <w:rsid w:val="007013E8"/>
    <w:rsid w:val="00733AE0"/>
    <w:rsid w:val="00A14DD2"/>
    <w:rsid w:val="00BA445B"/>
    <w:rsid w:val="00C83E83"/>
    <w:rsid w:val="00CA45AA"/>
    <w:rsid w:val="00F271C7"/>
    <w:rsid w:val="00F812AC"/>
    <w:rsid w:val="00FB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F7A2"/>
  <w14:defaultImageDpi w14:val="32767"/>
  <w15:chartTrackingRefBased/>
  <w15:docId w15:val="{5692F901-3AC4-0645-AC14-73F3BE04C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4DD2"/>
    <w:pPr>
      <w:spacing w:before="120" w:after="240"/>
      <w:ind w:left="567"/>
      <w:jc w:val="both"/>
    </w:pPr>
    <w:rPr>
      <w:rFonts w:ascii="Arial" w:hAnsi="Arial"/>
      <w:lang w:val="en-AU"/>
    </w:rPr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A14DD2"/>
    <w:pPr>
      <w:pageBreakBefore/>
      <w:numPr>
        <w:ilvl w:val="0"/>
      </w:numPr>
      <w:spacing w:after="480"/>
      <w:ind w:left="426"/>
      <w:outlineLvl w:val="0"/>
    </w:pPr>
    <w:rPr>
      <w:b/>
      <w:color w:val="44546A" w:themeColor="text2"/>
      <w:sz w:val="32"/>
      <w:szCs w:val="32"/>
      <w14:textFill>
        <w14:solidFill>
          <w14:schemeClr w14:val="tx2">
            <w14:lumMod w14:val="75000"/>
            <w14:lumMod w14:val="60000"/>
            <w14:lumOff w14:val="40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DD2"/>
    <w:pPr>
      <w:keepNext/>
      <w:keepLines/>
      <w:numPr>
        <w:ilvl w:val="1"/>
        <w:numId w:val="1"/>
      </w:numPr>
      <w:pBdr>
        <w:bottom w:val="single" w:sz="2" w:space="1" w:color="8496B0" w:themeColor="text2" w:themeTint="99"/>
      </w:pBdr>
      <w:spacing w:before="240"/>
      <w:ind w:left="1276" w:hanging="709"/>
      <w:outlineLvl w:val="1"/>
    </w:pPr>
    <w:rPr>
      <w:rFonts w:eastAsiaTheme="majorEastAsia" w:cstheme="majorBidi"/>
      <w:bCs/>
      <w:color w:val="8496B0" w:themeColor="text2" w:themeTint="99"/>
      <w:sz w:val="28"/>
      <w:szCs w:val="28"/>
    </w:rPr>
  </w:style>
  <w:style w:type="paragraph" w:styleId="Heading3">
    <w:name w:val="heading 3"/>
    <w:basedOn w:val="Heading2"/>
    <w:next w:val="ListNumber"/>
    <w:link w:val="Heading3Char"/>
    <w:uiPriority w:val="9"/>
    <w:unhideWhenUsed/>
    <w:qFormat/>
    <w:rsid w:val="00A14DD2"/>
    <w:pPr>
      <w:numPr>
        <w:ilvl w:val="2"/>
      </w:numPr>
      <w:pBdr>
        <w:bottom w:val="none" w:sz="0" w:space="0" w:color="auto"/>
      </w:pBdr>
      <w:ind w:left="1287"/>
      <w:outlineLvl w:val="2"/>
    </w:pPr>
    <w:rPr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DD2"/>
    <w:pPr>
      <w:outlineLvl w:val="3"/>
    </w:pPr>
    <w:rPr>
      <w:b/>
      <w:bCs/>
      <w:color w:val="4472C4" w:themeColor="accent1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DD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DD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DD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DD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DD2"/>
    <w:rPr>
      <w:rFonts w:ascii="Arial" w:eastAsiaTheme="majorEastAsia" w:hAnsi="Arial" w:cstheme="majorBidi"/>
      <w:b/>
      <w:bCs/>
      <w:color w:val="44546A" w:themeColor="text2"/>
      <w:sz w:val="32"/>
      <w:szCs w:val="32"/>
      <w:lang w:val="en-AU"/>
      <w14:textFill>
        <w14:solidFill>
          <w14:schemeClr w14:val="tx2">
            <w14:lumMod w14:val="75000"/>
            <w14:lumMod w14:val="60000"/>
            <w14:lumOff w14:val="40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A14DD2"/>
    <w:rPr>
      <w:rFonts w:ascii="Arial" w:eastAsiaTheme="majorEastAsia" w:hAnsi="Arial" w:cstheme="majorBidi"/>
      <w:bCs/>
      <w:color w:val="8496B0" w:themeColor="text2" w:themeTint="99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14DD2"/>
    <w:rPr>
      <w:rFonts w:ascii="Arial" w:eastAsiaTheme="majorEastAsia" w:hAnsi="Arial" w:cstheme="majorBidi"/>
      <w:bCs/>
      <w:color w:val="8496B0" w:themeColor="text2" w:themeTint="99"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14DD2"/>
    <w:rPr>
      <w:rFonts w:ascii="Arial" w:hAnsi="Arial"/>
      <w:b/>
      <w:bCs/>
      <w:color w:val="4472C4" w:themeColor="accent1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A14DD2"/>
    <w:rPr>
      <w:rFonts w:asciiTheme="majorHAnsi" w:eastAsiaTheme="majorEastAsia" w:hAnsiTheme="majorHAnsi" w:cstheme="majorBidi"/>
      <w:color w:val="1F3763" w:themeColor="accent1" w:themeShade="7F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A14DD2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DD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D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ListParagraph">
    <w:name w:val="List Paragraph"/>
    <w:basedOn w:val="Normal"/>
    <w:uiPriority w:val="34"/>
    <w:qFormat/>
    <w:rsid w:val="00A14DD2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A14DD2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14DD2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A14DD2"/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semiHidden/>
    <w:unhideWhenUsed/>
    <w:rsid w:val="00A14DD2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12AC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812AC"/>
    <w:rPr>
      <w:rFonts w:ascii="Arial" w:hAnsi="Arial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812AC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F812AC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fainstitute.org/-/media/documents/article/position-paper/esg-issues-in-investing-a-guide-for-investment-professionals.ashx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.org/sustainabledevelopment/sustainable-development-go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1080</Words>
  <Characters>6159</Characters>
  <Application>Microsoft Office Word</Application>
  <DocSecurity>0</DocSecurity>
  <Lines>51</Lines>
  <Paragraphs>14</Paragraphs>
  <ScaleCrop>false</ScaleCrop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Field</dc:creator>
  <cp:keywords/>
  <dc:description/>
  <cp:lastModifiedBy>Sean McDonald</cp:lastModifiedBy>
  <cp:revision>3</cp:revision>
  <dcterms:created xsi:type="dcterms:W3CDTF">2025-10-15T03:31:00Z</dcterms:created>
  <dcterms:modified xsi:type="dcterms:W3CDTF">2025-10-15T19:20:00Z</dcterms:modified>
</cp:coreProperties>
</file>