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C0C4" w14:textId="6F0D2690" w:rsidR="005C7118" w:rsidRDefault="005C7118" w:rsidP="005C7118">
      <w:pPr>
        <w:pStyle w:val="Heading1"/>
      </w:pPr>
      <w:bookmarkStart w:id="0" w:name="_Toc174522986"/>
      <w:r w:rsidRPr="00DE1EA7">
        <w:t>How to Help the Chair</w:t>
      </w:r>
      <w:bookmarkEnd w:id="0"/>
      <w:r w:rsidR="009B6C2C">
        <w:t>-Legal Powers</w:t>
      </w:r>
    </w:p>
    <w:p w14:paraId="7CFDE457" w14:textId="668294DF" w:rsidR="00CD3632" w:rsidRDefault="00CD3632" w:rsidP="00CD3632">
      <w:r>
        <w:t>Steven Bowman FAICD</w:t>
      </w:r>
    </w:p>
    <w:p w14:paraId="2B58D9DC" w14:textId="36F5C746" w:rsidR="00C521E0" w:rsidRDefault="00C521E0" w:rsidP="00CD3632">
      <w:hyperlink r:id="rId5" w:history="1">
        <w:r w:rsidRPr="00A13FB2">
          <w:rPr>
            <w:rStyle w:val="Hyperlink"/>
          </w:rPr>
          <w:t>www.consciousgovernanceinsights.com</w:t>
        </w:r>
      </w:hyperlink>
    </w:p>
    <w:p w14:paraId="64369FEA" w14:textId="56050D8C" w:rsidR="00C521E0" w:rsidRDefault="00C521E0" w:rsidP="00CD3632">
      <w:hyperlink r:id="rId6" w:history="1">
        <w:r w:rsidRPr="00A13FB2">
          <w:rPr>
            <w:rStyle w:val="Hyperlink"/>
          </w:rPr>
          <w:t>www.consciousgovernance.com</w:t>
        </w:r>
      </w:hyperlink>
    </w:p>
    <w:p w14:paraId="29DE95FB" w14:textId="77777777" w:rsidR="00C521E0" w:rsidRPr="00CD3632" w:rsidRDefault="00C521E0" w:rsidP="00CD3632"/>
    <w:p w14:paraId="38B4142B" w14:textId="77777777" w:rsidR="005C7118" w:rsidRPr="00DE1EA7" w:rsidRDefault="005C7118" w:rsidP="005C7118"/>
    <w:p w14:paraId="6F767DED" w14:textId="77777777" w:rsidR="005C7118" w:rsidRPr="00DE1EA7" w:rsidRDefault="005C7118" w:rsidP="005C7118">
      <w:r w:rsidRPr="00DE1EA7">
        <w:t>A chairman must make decisions in real time, sometimes with less than perfect information.</w:t>
      </w:r>
      <w:r>
        <w:t xml:space="preserve"> </w:t>
      </w:r>
      <w:r w:rsidRPr="00DE1EA7">
        <w:t xml:space="preserve"> Even if a court might reach a different decision after hearing all the evidence, </w:t>
      </w:r>
      <w:r w:rsidRPr="00DE1EA7">
        <w:rPr>
          <w:b/>
          <w:bCs/>
          <w:i/>
          <w:iCs/>
        </w:rPr>
        <w:t>the chairman</w:t>
      </w:r>
      <w:r>
        <w:rPr>
          <w:b/>
          <w:bCs/>
          <w:i/>
          <w:iCs/>
        </w:rPr>
        <w:t>’</w:t>
      </w:r>
      <w:r w:rsidRPr="00DE1EA7">
        <w:rPr>
          <w:b/>
          <w:bCs/>
          <w:i/>
          <w:iCs/>
        </w:rPr>
        <w:t>s decision will survive challenge if it was made in good faith, was reasonable and did not involve an error of law.</w:t>
      </w:r>
    </w:p>
    <w:p w14:paraId="2FC9D1CD" w14:textId="77777777" w:rsidR="005C7118" w:rsidRPr="009D110F" w:rsidRDefault="005C7118" w:rsidP="005C7118">
      <w:pPr>
        <w:rPr>
          <w:i/>
          <w:iCs/>
        </w:rPr>
      </w:pPr>
      <w:r w:rsidRPr="009D110F">
        <w:rPr>
          <w:i/>
          <w:iCs/>
        </w:rPr>
        <w:t xml:space="preserve">Australian Olives Ltd v </w:t>
      </w:r>
      <w:proofErr w:type="spellStart"/>
      <w:r w:rsidRPr="009D110F">
        <w:rPr>
          <w:i/>
          <w:iCs/>
        </w:rPr>
        <w:t>Livadaras</w:t>
      </w:r>
      <w:proofErr w:type="spellEnd"/>
      <w:r w:rsidRPr="009D110F">
        <w:rPr>
          <w:i/>
          <w:iCs/>
        </w:rPr>
        <w:t xml:space="preserve"> [2008] FCA 1407</w:t>
      </w:r>
      <w:r>
        <w:rPr>
          <w:i/>
          <w:iCs/>
        </w:rPr>
        <w:t>.</w:t>
      </w:r>
    </w:p>
    <w:p w14:paraId="6C82841B" w14:textId="77777777" w:rsidR="005C7118" w:rsidRPr="00DE1EA7" w:rsidRDefault="005C7118" w:rsidP="005C7118"/>
    <w:p w14:paraId="6612E975" w14:textId="77777777" w:rsidR="005C7118" w:rsidRPr="009D110F" w:rsidRDefault="005C7118" w:rsidP="005C7118">
      <w:pPr>
        <w:rPr>
          <w:i/>
          <w:iCs/>
        </w:rPr>
      </w:pPr>
      <w:r w:rsidRPr="009D110F">
        <w:rPr>
          <w:i/>
          <w:iCs/>
        </w:rPr>
        <w:t>Justice Beach: Australian Securities and Investments Commission v Mitchell (No 2) [2020] FCA 1098 (31 July 2020)</w:t>
      </w:r>
      <w:r>
        <w:rPr>
          <w:i/>
          <w:iCs/>
        </w:rPr>
        <w:t>.</w:t>
      </w:r>
    </w:p>
    <w:p w14:paraId="7E930BD6" w14:textId="77777777" w:rsidR="005C7118" w:rsidRPr="00DE1EA7" w:rsidRDefault="005C7118" w:rsidP="005C7118">
      <w:r w:rsidRPr="00DE1EA7">
        <w:t xml:space="preserve">…. he or she does have </w:t>
      </w:r>
      <w:r w:rsidRPr="00DE1EA7">
        <w:rPr>
          <w:b/>
          <w:bCs/>
          <w:i/>
          <w:iCs/>
        </w:rPr>
        <w:t>the power and authority to manage Board meetings</w:t>
      </w:r>
      <w:r w:rsidRPr="00DE1EA7">
        <w:t xml:space="preserve"> and so may have greater responsibility for the performance of the Board as a </w:t>
      </w:r>
      <w:proofErr w:type="gramStart"/>
      <w:r w:rsidRPr="00DE1EA7">
        <w:t>whole;</w:t>
      </w:r>
      <w:proofErr w:type="gramEnd"/>
    </w:p>
    <w:p w14:paraId="6A3A04E1" w14:textId="77777777" w:rsidR="005C7118" w:rsidRDefault="005C7118" w:rsidP="005C7118">
      <w:pPr>
        <w:pStyle w:val="ListParagraph"/>
        <w:numPr>
          <w:ilvl w:val="0"/>
          <w:numId w:val="1"/>
        </w:numPr>
        <w:spacing w:before="240" w:line="240" w:lineRule="auto"/>
        <w:ind w:left="414" w:hanging="357"/>
      </w:pPr>
      <w:r w:rsidRPr="00DE1EA7">
        <w:t xml:space="preserve">the Chair has responsibility for </w:t>
      </w:r>
      <w:r w:rsidRPr="000475CD">
        <w:rPr>
          <w:b/>
          <w:bCs/>
          <w:i/>
          <w:iCs/>
        </w:rPr>
        <w:t>setting the agenda for Board meetings</w:t>
      </w:r>
      <w:r w:rsidRPr="00DE1EA7">
        <w:t xml:space="preserve"> and </w:t>
      </w:r>
      <w:r w:rsidRPr="000475CD">
        <w:rPr>
          <w:b/>
          <w:bCs/>
          <w:i/>
          <w:iCs/>
        </w:rPr>
        <w:t xml:space="preserve">must ensure that the Board has before </w:t>
      </w:r>
      <w:proofErr w:type="gramStart"/>
      <w:r w:rsidRPr="000475CD">
        <w:rPr>
          <w:b/>
          <w:bCs/>
          <w:i/>
          <w:iCs/>
        </w:rPr>
        <w:t>it</w:t>
      </w:r>
      <w:proofErr w:type="gramEnd"/>
      <w:r w:rsidRPr="000475CD">
        <w:rPr>
          <w:b/>
          <w:bCs/>
          <w:i/>
          <w:iCs/>
        </w:rPr>
        <w:t xml:space="preserve"> sufficient information to consider, discuss and decide on the agenda items.</w:t>
      </w:r>
      <w:r>
        <w:rPr>
          <w:b/>
          <w:bCs/>
          <w:i/>
          <w:iCs/>
        </w:rPr>
        <w:t xml:space="preserve"> </w:t>
      </w:r>
      <w:r w:rsidRPr="00DE1EA7">
        <w:t xml:space="preserve"> The Chair is responsible for ensuring the Board has sufficient time to attend to necessary </w:t>
      </w:r>
      <w:proofErr w:type="gramStart"/>
      <w:r w:rsidRPr="00DE1EA7">
        <w:t>matters;</w:t>
      </w:r>
      <w:proofErr w:type="gramEnd"/>
    </w:p>
    <w:p w14:paraId="4EDA1A8F" w14:textId="77777777" w:rsidR="005C7118" w:rsidRPr="00DE1EA7" w:rsidRDefault="005C7118" w:rsidP="005C7118">
      <w:pPr>
        <w:pStyle w:val="ListParagraph"/>
        <w:spacing w:before="240" w:line="240" w:lineRule="auto"/>
        <w:ind w:left="414"/>
      </w:pPr>
    </w:p>
    <w:p w14:paraId="2039AC3A" w14:textId="77777777" w:rsidR="005C7118" w:rsidRDefault="005C7118" w:rsidP="005C7118">
      <w:pPr>
        <w:pStyle w:val="ListParagraph"/>
        <w:numPr>
          <w:ilvl w:val="0"/>
          <w:numId w:val="1"/>
        </w:numPr>
        <w:spacing w:before="240" w:line="240" w:lineRule="auto"/>
        <w:ind w:left="414" w:hanging="357"/>
      </w:pPr>
      <w:r w:rsidRPr="00DE1EA7">
        <w:t xml:space="preserve">the Chair is responsible for ensuring </w:t>
      </w:r>
      <w:r>
        <w:t>“</w:t>
      </w:r>
      <w:r w:rsidRPr="009D110F">
        <w:rPr>
          <w:b/>
          <w:bCs/>
          <w:i/>
          <w:iCs/>
        </w:rPr>
        <w:t>workable and harmonious relations</w:t>
      </w:r>
      <w:r>
        <w:t>”</w:t>
      </w:r>
      <w:r w:rsidRPr="00DE1EA7">
        <w:t xml:space="preserve"> between executive and non-executive directors and between the Board and executive management.</w:t>
      </w:r>
      <w:r>
        <w:t xml:space="preserve"> </w:t>
      </w:r>
      <w:r w:rsidRPr="00DE1EA7">
        <w:t xml:space="preserve"> The Chair must also </w:t>
      </w:r>
      <w:r w:rsidRPr="009D110F">
        <w:rPr>
          <w:b/>
          <w:bCs/>
          <w:i/>
          <w:iCs/>
        </w:rPr>
        <w:t xml:space="preserve">manage unhelpfully disruptive </w:t>
      </w:r>
      <w:proofErr w:type="gramStart"/>
      <w:r w:rsidRPr="009D110F">
        <w:rPr>
          <w:b/>
          <w:bCs/>
          <w:i/>
          <w:iCs/>
        </w:rPr>
        <w:t>directors</w:t>
      </w:r>
      <w:r w:rsidRPr="00DE1EA7">
        <w:t>;</w:t>
      </w:r>
      <w:proofErr w:type="gramEnd"/>
    </w:p>
    <w:p w14:paraId="5F910376" w14:textId="77777777" w:rsidR="005C7118" w:rsidRPr="00DE1EA7" w:rsidRDefault="005C7118" w:rsidP="005C7118">
      <w:pPr>
        <w:pStyle w:val="ListParagraph"/>
        <w:ind w:left="1281"/>
      </w:pPr>
    </w:p>
    <w:p w14:paraId="593EB044" w14:textId="77777777" w:rsidR="005C7118" w:rsidRDefault="005C7118" w:rsidP="005C7118">
      <w:pPr>
        <w:pStyle w:val="ListParagraph"/>
        <w:numPr>
          <w:ilvl w:val="0"/>
          <w:numId w:val="1"/>
        </w:numPr>
        <w:spacing w:before="240" w:line="240" w:lineRule="auto"/>
        <w:ind w:left="414" w:hanging="357"/>
      </w:pPr>
      <w:r w:rsidRPr="00DE1EA7">
        <w:t xml:space="preserve">the chair may have </w:t>
      </w:r>
      <w:r w:rsidRPr="009D110F">
        <w:rPr>
          <w:b/>
          <w:bCs/>
          <w:i/>
          <w:iCs/>
        </w:rPr>
        <w:t>greater responsibility</w:t>
      </w:r>
      <w:r w:rsidRPr="00DE1EA7">
        <w:t xml:space="preserve"> for ensuring that the Board sets and implements an </w:t>
      </w:r>
      <w:r w:rsidRPr="009D110F">
        <w:rPr>
          <w:b/>
          <w:bCs/>
          <w:i/>
          <w:iCs/>
        </w:rPr>
        <w:t>appropriate corporate culture and corporate governance structure</w:t>
      </w:r>
      <w:r w:rsidRPr="00DE1EA7">
        <w:t xml:space="preserve"> within the </w:t>
      </w:r>
      <w:proofErr w:type="gramStart"/>
      <w:r w:rsidRPr="00DE1EA7">
        <w:t>organisation;</w:t>
      </w:r>
      <w:proofErr w:type="gramEnd"/>
    </w:p>
    <w:p w14:paraId="54FCF7D8" w14:textId="77777777" w:rsidR="005C7118" w:rsidRPr="00DE1EA7" w:rsidRDefault="005C7118" w:rsidP="005C7118">
      <w:pPr>
        <w:pStyle w:val="ListParagraph"/>
        <w:ind w:left="1281"/>
      </w:pPr>
    </w:p>
    <w:p w14:paraId="07BCFCD4" w14:textId="77777777" w:rsidR="005C7118" w:rsidRDefault="005C7118" w:rsidP="005C7118">
      <w:pPr>
        <w:pStyle w:val="ListParagraph"/>
        <w:numPr>
          <w:ilvl w:val="0"/>
          <w:numId w:val="1"/>
        </w:numPr>
        <w:spacing w:before="240" w:line="240" w:lineRule="auto"/>
        <w:ind w:left="414" w:hanging="357"/>
      </w:pPr>
      <w:r w:rsidRPr="00DE1EA7">
        <w:t xml:space="preserve">the Chair must ensure appropriate communication with and the taking into consideration of the </w:t>
      </w:r>
      <w:r w:rsidRPr="009D110F">
        <w:rPr>
          <w:b/>
          <w:bCs/>
          <w:i/>
          <w:iCs/>
        </w:rPr>
        <w:t>interests and concerns of members</w:t>
      </w:r>
      <w:r w:rsidRPr="00DE1EA7">
        <w:t xml:space="preserve"> of the organisation; and</w:t>
      </w:r>
    </w:p>
    <w:p w14:paraId="783BFEF2" w14:textId="77777777" w:rsidR="005C7118" w:rsidRPr="00DE1EA7" w:rsidRDefault="005C7118" w:rsidP="005C7118">
      <w:pPr>
        <w:pStyle w:val="ListParagraph"/>
        <w:ind w:left="1281"/>
      </w:pPr>
    </w:p>
    <w:p w14:paraId="30B07104" w14:textId="77777777" w:rsidR="005C7118" w:rsidRPr="00DE1EA7" w:rsidRDefault="005C7118" w:rsidP="005C7118">
      <w:pPr>
        <w:pStyle w:val="ListParagraph"/>
        <w:numPr>
          <w:ilvl w:val="0"/>
          <w:numId w:val="1"/>
        </w:numPr>
        <w:spacing w:before="240" w:line="240" w:lineRule="auto"/>
        <w:ind w:left="414" w:hanging="357"/>
      </w:pPr>
      <w:r w:rsidRPr="00DE1EA7">
        <w:t xml:space="preserve">the Chair may have a </w:t>
      </w:r>
      <w:r w:rsidRPr="009D110F">
        <w:rPr>
          <w:b/>
          <w:bCs/>
          <w:i/>
          <w:iCs/>
        </w:rPr>
        <w:t>public relations role</w:t>
      </w:r>
      <w:r w:rsidRPr="00DE1EA7">
        <w:t xml:space="preserve"> in respect of the Board and outside parties.</w:t>
      </w:r>
    </w:p>
    <w:p w14:paraId="246723A6" w14:textId="4FC82D20" w:rsidR="00AB0C68" w:rsidRDefault="00AB0C68"/>
    <w:sectPr w:rsidR="00AB0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B2358"/>
    <w:multiLevelType w:val="hybridMultilevel"/>
    <w:tmpl w:val="53321686"/>
    <w:lvl w:ilvl="0" w:tplc="A110715C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139469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18"/>
    <w:rsid w:val="001E6EEC"/>
    <w:rsid w:val="00306FB6"/>
    <w:rsid w:val="003235B5"/>
    <w:rsid w:val="003C349B"/>
    <w:rsid w:val="005C7118"/>
    <w:rsid w:val="00617E2D"/>
    <w:rsid w:val="00690A63"/>
    <w:rsid w:val="007570AE"/>
    <w:rsid w:val="009B6C2C"/>
    <w:rsid w:val="00A81F93"/>
    <w:rsid w:val="00AB0C68"/>
    <w:rsid w:val="00C521E0"/>
    <w:rsid w:val="00CD3632"/>
    <w:rsid w:val="00D5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B409"/>
  <w15:chartTrackingRefBased/>
  <w15:docId w15:val="{54B6B2DE-0F9D-4D5D-9EDE-BC7CA3A5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118"/>
    <w:pPr>
      <w:jc w:val="both"/>
    </w:pPr>
    <w:rPr>
      <w:rFonts w:ascii="Arial" w:hAnsi="Arial"/>
      <w:kern w:val="0"/>
      <w:sz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1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1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1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1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21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ciousgovernance.com" TargetMode="External"/><Relationship Id="rId5" Type="http://schemas.openxmlformats.org/officeDocument/2006/relationships/hyperlink" Target="http://www.consciousgovernanceinsigh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Bowman</dc:creator>
  <cp:keywords/>
  <dc:description/>
  <cp:lastModifiedBy>Sean McDonald</cp:lastModifiedBy>
  <cp:revision>2</cp:revision>
  <dcterms:created xsi:type="dcterms:W3CDTF">2025-07-24T05:00:00Z</dcterms:created>
  <dcterms:modified xsi:type="dcterms:W3CDTF">2025-07-24T05:00:00Z</dcterms:modified>
</cp:coreProperties>
</file>